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A0" w:rsidRPr="008C7DEC" w:rsidRDefault="00BC34A0" w:rsidP="008B0E8A">
      <w:pPr>
        <w:spacing w:after="0"/>
        <w:jc w:val="both"/>
        <w:rPr>
          <w:sz w:val="24"/>
          <w:szCs w:val="24"/>
        </w:rPr>
      </w:pPr>
    </w:p>
    <w:p w:rsidR="0090196D" w:rsidRPr="008C7DEC" w:rsidRDefault="00BC34A0" w:rsidP="008B0E8A">
      <w:pPr>
        <w:spacing w:after="0"/>
        <w:jc w:val="both"/>
        <w:rPr>
          <w:sz w:val="24"/>
          <w:szCs w:val="24"/>
        </w:rPr>
      </w:pPr>
      <w:r w:rsidRPr="008C7DEC">
        <w:rPr>
          <w:sz w:val="24"/>
          <w:szCs w:val="24"/>
        </w:rPr>
        <w:t>Dear Partners</w:t>
      </w:r>
    </w:p>
    <w:p w:rsidR="009864F8" w:rsidRPr="008C7DEC" w:rsidRDefault="009864F8" w:rsidP="008B0E8A">
      <w:pPr>
        <w:spacing w:after="0"/>
        <w:jc w:val="both"/>
        <w:rPr>
          <w:sz w:val="24"/>
          <w:szCs w:val="24"/>
        </w:rPr>
      </w:pPr>
    </w:p>
    <w:p w:rsidR="009864F8" w:rsidRPr="008C7DEC" w:rsidRDefault="009864F8" w:rsidP="008B0E8A">
      <w:pPr>
        <w:spacing w:after="0"/>
        <w:jc w:val="both"/>
        <w:rPr>
          <w:sz w:val="24"/>
          <w:szCs w:val="24"/>
        </w:rPr>
      </w:pPr>
      <w:r w:rsidRPr="008C7DEC">
        <w:rPr>
          <w:sz w:val="24"/>
          <w:szCs w:val="24"/>
        </w:rPr>
        <w:t xml:space="preserve">As you are </w:t>
      </w:r>
      <w:r w:rsidR="00496942" w:rsidRPr="008C7DEC">
        <w:rPr>
          <w:sz w:val="24"/>
          <w:szCs w:val="24"/>
        </w:rPr>
        <w:t xml:space="preserve">aware that </w:t>
      </w:r>
      <w:r w:rsidRPr="008C7DEC">
        <w:rPr>
          <w:sz w:val="24"/>
          <w:szCs w:val="24"/>
        </w:rPr>
        <w:t xml:space="preserve">Controller of Certifying </w:t>
      </w:r>
      <w:r w:rsidR="006E6318" w:rsidRPr="008C7DEC">
        <w:rPr>
          <w:sz w:val="24"/>
          <w:szCs w:val="24"/>
        </w:rPr>
        <w:t>Authorities (</w:t>
      </w:r>
      <w:r w:rsidR="00496942" w:rsidRPr="008C7DEC">
        <w:rPr>
          <w:sz w:val="24"/>
          <w:szCs w:val="24"/>
        </w:rPr>
        <w:t>CCA)</w:t>
      </w:r>
      <w:r w:rsidRPr="008C7DEC">
        <w:rPr>
          <w:sz w:val="24"/>
          <w:szCs w:val="24"/>
        </w:rPr>
        <w:t xml:space="preserve"> </w:t>
      </w:r>
      <w:r w:rsidR="006E6318" w:rsidRPr="008C7DEC">
        <w:rPr>
          <w:sz w:val="24"/>
          <w:szCs w:val="24"/>
        </w:rPr>
        <w:t>has</w:t>
      </w:r>
      <w:r w:rsidRPr="008C7DEC">
        <w:rPr>
          <w:sz w:val="24"/>
          <w:szCs w:val="24"/>
        </w:rPr>
        <w:t xml:space="preserve"> released new guidelines</w:t>
      </w:r>
      <w:r w:rsidR="00151D42" w:rsidRPr="008C7DEC">
        <w:rPr>
          <w:sz w:val="24"/>
          <w:szCs w:val="24"/>
        </w:rPr>
        <w:t xml:space="preserve"> 2.0</w:t>
      </w:r>
      <w:r w:rsidRPr="008C7DEC">
        <w:rPr>
          <w:sz w:val="24"/>
          <w:szCs w:val="24"/>
        </w:rPr>
        <w:t xml:space="preserve"> for Crypto Token device on November 14, 202</w:t>
      </w:r>
      <w:r w:rsidR="008B0E8A" w:rsidRPr="008C7DEC">
        <w:rPr>
          <w:sz w:val="24"/>
          <w:szCs w:val="24"/>
        </w:rPr>
        <w:t>2</w:t>
      </w:r>
      <w:r w:rsidRPr="008C7DEC">
        <w:rPr>
          <w:sz w:val="24"/>
          <w:szCs w:val="24"/>
        </w:rPr>
        <w:t xml:space="preserve">, ProxKey </w:t>
      </w:r>
      <w:r w:rsidR="008B0E8A" w:rsidRPr="008C7DEC">
        <w:rPr>
          <w:sz w:val="24"/>
          <w:szCs w:val="24"/>
        </w:rPr>
        <w:t xml:space="preserve">Tokens are fully complaint and ready for implementation of new guidelines. The effective date for the new guidelines is </w:t>
      </w:r>
      <w:r w:rsidR="008B0E8A" w:rsidRPr="008C7DEC">
        <w:rPr>
          <w:b/>
          <w:color w:val="C0504D" w:themeColor="accent2"/>
          <w:sz w:val="24"/>
          <w:szCs w:val="24"/>
        </w:rPr>
        <w:t>April 1, 2023</w:t>
      </w:r>
    </w:p>
    <w:p w:rsidR="009864F8" w:rsidRPr="008C7DEC" w:rsidRDefault="009864F8" w:rsidP="008B0E8A">
      <w:pPr>
        <w:spacing w:after="0"/>
        <w:jc w:val="both"/>
        <w:rPr>
          <w:sz w:val="24"/>
          <w:szCs w:val="24"/>
        </w:rPr>
      </w:pPr>
    </w:p>
    <w:p w:rsidR="00151D42" w:rsidRPr="008C7DEC" w:rsidRDefault="00151D42" w:rsidP="008B0E8A">
      <w:pPr>
        <w:spacing w:after="0"/>
        <w:jc w:val="both"/>
        <w:rPr>
          <w:sz w:val="24"/>
          <w:szCs w:val="24"/>
        </w:rPr>
      </w:pPr>
      <w:r w:rsidRPr="008C7DEC">
        <w:rPr>
          <w:sz w:val="24"/>
          <w:szCs w:val="24"/>
        </w:rPr>
        <w:t>There are certain FAQ for implementation of new guidelines which we have address through this document</w:t>
      </w:r>
    </w:p>
    <w:p w:rsidR="00151D42" w:rsidRPr="008C7DEC" w:rsidRDefault="00151D42" w:rsidP="008B0E8A">
      <w:pPr>
        <w:spacing w:after="0"/>
        <w:jc w:val="both"/>
        <w:rPr>
          <w:sz w:val="24"/>
          <w:szCs w:val="24"/>
        </w:rPr>
      </w:pPr>
    </w:p>
    <w:p w:rsidR="00151D42" w:rsidRPr="008C7DEC" w:rsidRDefault="00D76895" w:rsidP="008B0E8A">
      <w:pPr>
        <w:spacing w:after="0"/>
        <w:jc w:val="both"/>
        <w:rPr>
          <w:b/>
          <w:sz w:val="24"/>
          <w:szCs w:val="24"/>
          <w:u w:val="single"/>
        </w:rPr>
      </w:pPr>
      <w:r w:rsidRPr="008C7DEC">
        <w:rPr>
          <w:b/>
          <w:sz w:val="24"/>
          <w:szCs w:val="24"/>
          <w:u w:val="single"/>
        </w:rPr>
        <w:t>COMPLIANCE OF PROXKEY TOKEN &amp; AVAILABILITY OF NEW SERIES OF TOKENS</w:t>
      </w:r>
      <w:r w:rsidR="00151D42" w:rsidRPr="008C7DEC">
        <w:rPr>
          <w:b/>
          <w:sz w:val="24"/>
          <w:szCs w:val="24"/>
          <w:u w:val="single"/>
        </w:rPr>
        <w:t xml:space="preserve"> </w:t>
      </w:r>
    </w:p>
    <w:p w:rsidR="00151D42" w:rsidRPr="008C7DEC" w:rsidRDefault="00151D42" w:rsidP="008B0E8A">
      <w:pPr>
        <w:spacing w:after="0"/>
        <w:jc w:val="both"/>
        <w:rPr>
          <w:sz w:val="24"/>
          <w:szCs w:val="24"/>
        </w:rPr>
      </w:pPr>
    </w:p>
    <w:p w:rsidR="007B3CBB" w:rsidRPr="008C7DEC" w:rsidRDefault="00151D42" w:rsidP="008B0E8A">
      <w:pPr>
        <w:spacing w:after="0"/>
        <w:jc w:val="both"/>
        <w:rPr>
          <w:b/>
          <w:sz w:val="24"/>
          <w:szCs w:val="24"/>
        </w:rPr>
      </w:pPr>
      <w:r w:rsidRPr="008C7DEC">
        <w:rPr>
          <w:sz w:val="24"/>
          <w:szCs w:val="24"/>
        </w:rPr>
        <w:t xml:space="preserve">New series of ProxKey tokens are complaint with the CCA Crypto Guidelines 2.0. New series of tokens are </w:t>
      </w:r>
      <w:r w:rsidR="00274887" w:rsidRPr="008C7DEC">
        <w:rPr>
          <w:b/>
          <w:color w:val="C0504D" w:themeColor="accent2"/>
          <w:sz w:val="24"/>
          <w:szCs w:val="24"/>
        </w:rPr>
        <w:t>READILY AVAILABLE</w:t>
      </w:r>
      <w:r w:rsidR="00274887" w:rsidRPr="008C7DEC">
        <w:rPr>
          <w:sz w:val="24"/>
          <w:szCs w:val="24"/>
        </w:rPr>
        <w:t xml:space="preserve"> </w:t>
      </w:r>
      <w:r w:rsidRPr="008C7DEC">
        <w:rPr>
          <w:sz w:val="24"/>
          <w:szCs w:val="24"/>
        </w:rPr>
        <w:t>for delivery. You may contact your CA / RA / DSC Provider for latest price and quick delivery of tokens.</w:t>
      </w:r>
      <w:r w:rsidRPr="008C7DEC">
        <w:rPr>
          <w:b/>
          <w:sz w:val="24"/>
          <w:szCs w:val="24"/>
        </w:rPr>
        <w:t xml:space="preserve"> </w:t>
      </w:r>
    </w:p>
    <w:p w:rsidR="007B3CBB" w:rsidRPr="008C7DEC" w:rsidRDefault="007B3CBB" w:rsidP="008B0E8A">
      <w:pPr>
        <w:spacing w:after="0"/>
        <w:jc w:val="both"/>
        <w:rPr>
          <w:sz w:val="24"/>
          <w:szCs w:val="24"/>
        </w:rPr>
      </w:pPr>
    </w:p>
    <w:p w:rsidR="007B3CBB" w:rsidRPr="008C7DEC" w:rsidRDefault="00D76895" w:rsidP="008B0E8A">
      <w:pPr>
        <w:spacing w:after="0"/>
        <w:jc w:val="both"/>
        <w:rPr>
          <w:b/>
          <w:sz w:val="24"/>
          <w:szCs w:val="24"/>
          <w:u w:val="single"/>
        </w:rPr>
      </w:pPr>
      <w:r w:rsidRPr="008C7DEC">
        <w:rPr>
          <w:b/>
          <w:sz w:val="24"/>
          <w:szCs w:val="24"/>
          <w:u w:val="single"/>
        </w:rPr>
        <w:t>HOW TO IDENTIFY NEW SERIES OF TOKEN?</w:t>
      </w:r>
    </w:p>
    <w:p w:rsidR="00151D42" w:rsidRPr="008C7DEC" w:rsidRDefault="00151D42" w:rsidP="008B0E8A">
      <w:pPr>
        <w:spacing w:after="0"/>
        <w:jc w:val="both"/>
        <w:rPr>
          <w:b/>
          <w:sz w:val="24"/>
          <w:szCs w:val="24"/>
        </w:rPr>
      </w:pPr>
    </w:p>
    <w:p w:rsidR="00151D42" w:rsidRPr="008C7DEC" w:rsidRDefault="00151D42" w:rsidP="008B0E8A">
      <w:pPr>
        <w:spacing w:after="0"/>
        <w:jc w:val="both"/>
        <w:rPr>
          <w:sz w:val="24"/>
          <w:szCs w:val="24"/>
        </w:rPr>
      </w:pPr>
      <w:r w:rsidRPr="008C7DEC">
        <w:rPr>
          <w:sz w:val="24"/>
          <w:szCs w:val="24"/>
        </w:rPr>
        <w:t>The serial number of new series of Token starts with ‘WD’ which is the initials for OEM ‘Watchdata’. You need to check the serial number engraved on the token (A sample picture is enclosed for your reference). You can also verify the serial number from the token middleware in the Device Information Section</w:t>
      </w:r>
    </w:p>
    <w:p w:rsidR="00151D42" w:rsidRPr="008C7DEC" w:rsidRDefault="00773A63" w:rsidP="00C17C4C">
      <w:pPr>
        <w:spacing w:after="0"/>
        <w:jc w:val="center"/>
        <w:rPr>
          <w:sz w:val="24"/>
          <w:szCs w:val="24"/>
        </w:rPr>
      </w:pPr>
      <w:r w:rsidRPr="008C7DEC">
        <w:rPr>
          <w:noProof/>
          <w:sz w:val="24"/>
          <w:szCs w:val="24"/>
        </w:rPr>
        <w:drawing>
          <wp:inline distT="0" distB="0" distL="0" distR="0">
            <wp:extent cx="3707562" cy="1298702"/>
            <wp:effectExtent l="19050" t="0" r="7188" b="0"/>
            <wp:docPr id="8" name="Picture 3" descr="C:\Users\ACER\Desktop\PROXKE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PROXKEY 2.png"/>
                    <pic:cNvPicPr>
                      <a:picLocks noChangeAspect="1" noChangeArrowheads="1"/>
                    </pic:cNvPicPr>
                  </pic:nvPicPr>
                  <pic:blipFill>
                    <a:blip r:embed="rId7" cstate="print"/>
                    <a:srcRect/>
                    <a:stretch>
                      <a:fillRect/>
                    </a:stretch>
                  </pic:blipFill>
                  <pic:spPr bwMode="auto">
                    <a:xfrm>
                      <a:off x="0" y="0"/>
                      <a:ext cx="3717155" cy="1302062"/>
                    </a:xfrm>
                    <a:prstGeom prst="rect">
                      <a:avLst/>
                    </a:prstGeom>
                    <a:noFill/>
                    <a:ln w="9525">
                      <a:noFill/>
                      <a:miter lim="800000"/>
                      <a:headEnd/>
                      <a:tailEnd/>
                    </a:ln>
                  </pic:spPr>
                </pic:pic>
              </a:graphicData>
            </a:graphic>
          </wp:inline>
        </w:drawing>
      </w:r>
    </w:p>
    <w:p w:rsidR="007B3CBB" w:rsidRPr="008C7DEC" w:rsidRDefault="00BC34A0" w:rsidP="00BC34A0">
      <w:pPr>
        <w:spacing w:after="0"/>
        <w:jc w:val="center"/>
        <w:rPr>
          <w:sz w:val="24"/>
          <w:szCs w:val="24"/>
        </w:rPr>
      </w:pPr>
      <w:r w:rsidRPr="008C7DEC">
        <w:rPr>
          <w:sz w:val="24"/>
          <w:szCs w:val="24"/>
        </w:rPr>
        <w:t>Physical Appearance</w:t>
      </w:r>
    </w:p>
    <w:p w:rsidR="00BC34A0" w:rsidRPr="008C7DEC" w:rsidRDefault="008C7DEC" w:rsidP="008C7DEC">
      <w:pPr>
        <w:spacing w:after="0"/>
        <w:jc w:val="center"/>
        <w:rPr>
          <w:sz w:val="24"/>
          <w:szCs w:val="24"/>
        </w:rPr>
      </w:pPr>
      <w:r>
        <w:rPr>
          <w:noProof/>
          <w:sz w:val="24"/>
          <w:szCs w:val="24"/>
        </w:rPr>
        <w:drawing>
          <wp:inline distT="0" distB="0" distL="0" distR="0">
            <wp:extent cx="3963973" cy="2001910"/>
            <wp:effectExtent l="19050" t="19050" r="17477" b="17390"/>
            <wp:docPr id="1" name="Picture 1" descr="C:\Users\AC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jpg"/>
                    <pic:cNvPicPr>
                      <a:picLocks noChangeAspect="1" noChangeArrowheads="1"/>
                    </pic:cNvPicPr>
                  </pic:nvPicPr>
                  <pic:blipFill>
                    <a:blip r:embed="rId8" cstate="print"/>
                    <a:srcRect/>
                    <a:stretch>
                      <a:fillRect/>
                    </a:stretch>
                  </pic:blipFill>
                  <pic:spPr bwMode="auto">
                    <a:xfrm>
                      <a:off x="0" y="0"/>
                      <a:ext cx="3970022" cy="2004965"/>
                    </a:xfrm>
                    <a:prstGeom prst="rect">
                      <a:avLst/>
                    </a:prstGeom>
                    <a:noFill/>
                    <a:ln w="9525">
                      <a:solidFill>
                        <a:schemeClr val="tx1"/>
                      </a:solidFill>
                      <a:miter lim="800000"/>
                      <a:headEnd/>
                      <a:tailEnd/>
                    </a:ln>
                  </pic:spPr>
                </pic:pic>
              </a:graphicData>
            </a:graphic>
          </wp:inline>
        </w:drawing>
      </w:r>
    </w:p>
    <w:p w:rsidR="00BC34A0" w:rsidRPr="008C7DEC" w:rsidRDefault="008C7DEC" w:rsidP="008C7DEC">
      <w:pPr>
        <w:spacing w:after="0"/>
        <w:jc w:val="center"/>
        <w:rPr>
          <w:sz w:val="24"/>
          <w:szCs w:val="24"/>
        </w:rPr>
      </w:pPr>
      <w:r>
        <w:rPr>
          <w:sz w:val="24"/>
          <w:szCs w:val="24"/>
        </w:rPr>
        <w:t>Verify Serial number in Token Middleware</w:t>
      </w:r>
    </w:p>
    <w:p w:rsidR="00BC34A0" w:rsidRPr="008C7DEC" w:rsidRDefault="00BC34A0" w:rsidP="008B0E8A">
      <w:pPr>
        <w:spacing w:after="0"/>
        <w:jc w:val="both"/>
        <w:rPr>
          <w:sz w:val="24"/>
          <w:szCs w:val="24"/>
        </w:rPr>
      </w:pPr>
    </w:p>
    <w:p w:rsidR="007B3CBB" w:rsidRPr="008C7DEC" w:rsidRDefault="00D76895" w:rsidP="008B0E8A">
      <w:pPr>
        <w:spacing w:after="0"/>
        <w:jc w:val="both"/>
        <w:rPr>
          <w:b/>
          <w:sz w:val="24"/>
          <w:szCs w:val="24"/>
          <w:u w:val="single"/>
        </w:rPr>
      </w:pPr>
      <w:r w:rsidRPr="008C7DEC">
        <w:rPr>
          <w:b/>
          <w:sz w:val="24"/>
          <w:szCs w:val="24"/>
          <w:u w:val="single"/>
        </w:rPr>
        <w:lastRenderedPageBreak/>
        <w:t>WHAT HAPPENS TO THE OLD SERIES OF TOKEN?</w:t>
      </w:r>
    </w:p>
    <w:p w:rsidR="006B223B" w:rsidRPr="008C7DEC" w:rsidRDefault="006B223B" w:rsidP="008B0E8A">
      <w:pPr>
        <w:spacing w:after="0"/>
        <w:jc w:val="both"/>
        <w:rPr>
          <w:b/>
          <w:sz w:val="24"/>
          <w:szCs w:val="24"/>
        </w:rPr>
      </w:pPr>
    </w:p>
    <w:p w:rsidR="006B223B" w:rsidRPr="008C7DEC" w:rsidRDefault="006B223B" w:rsidP="008B0E8A">
      <w:pPr>
        <w:spacing w:after="0"/>
        <w:jc w:val="both"/>
        <w:rPr>
          <w:sz w:val="24"/>
          <w:szCs w:val="24"/>
        </w:rPr>
      </w:pPr>
      <w:r w:rsidRPr="008C7DEC">
        <w:rPr>
          <w:sz w:val="24"/>
          <w:szCs w:val="24"/>
        </w:rPr>
        <w:t xml:space="preserve"> As per the CCA Guideline 2.0 for Crypto Tokens, only new series of Token can be used to download certificate from April 1, 2023</w:t>
      </w:r>
      <w:r w:rsidR="00D57567" w:rsidRPr="008C7DEC">
        <w:rPr>
          <w:sz w:val="24"/>
          <w:szCs w:val="24"/>
        </w:rPr>
        <w:t xml:space="preserve">. So old series token cannot be used to download new certificate from April 1, 2023. Further clarification on old series of token is as under </w:t>
      </w:r>
    </w:p>
    <w:p w:rsidR="006B223B" w:rsidRPr="008C7DEC" w:rsidRDefault="006B223B" w:rsidP="008B0E8A">
      <w:pPr>
        <w:spacing w:after="0"/>
        <w:jc w:val="both"/>
        <w:rPr>
          <w:b/>
          <w:sz w:val="24"/>
          <w:szCs w:val="24"/>
        </w:rPr>
      </w:pPr>
    </w:p>
    <w:p w:rsidR="006B223B" w:rsidRPr="008C7DEC" w:rsidRDefault="00D57567" w:rsidP="00D57567">
      <w:pPr>
        <w:pStyle w:val="ListParagraph"/>
        <w:numPr>
          <w:ilvl w:val="0"/>
          <w:numId w:val="1"/>
        </w:numPr>
        <w:spacing w:after="0"/>
        <w:jc w:val="both"/>
        <w:rPr>
          <w:i/>
          <w:color w:val="365F91" w:themeColor="accent1" w:themeShade="BF"/>
          <w:sz w:val="24"/>
          <w:szCs w:val="24"/>
        </w:rPr>
      </w:pPr>
      <w:r w:rsidRPr="008C7DEC">
        <w:rPr>
          <w:i/>
          <w:color w:val="365F91" w:themeColor="accent1" w:themeShade="BF"/>
          <w:sz w:val="24"/>
          <w:szCs w:val="24"/>
        </w:rPr>
        <w:t>Old series Tokens on which DSC is already downloaded before March 31, 2023</w:t>
      </w:r>
    </w:p>
    <w:p w:rsidR="00070B83" w:rsidRPr="008C7DEC" w:rsidRDefault="00070B83" w:rsidP="00070B83">
      <w:pPr>
        <w:pStyle w:val="ListParagraph"/>
        <w:spacing w:after="0"/>
        <w:jc w:val="both"/>
        <w:rPr>
          <w:sz w:val="24"/>
          <w:szCs w:val="24"/>
        </w:rPr>
      </w:pPr>
    </w:p>
    <w:p w:rsidR="00070B83" w:rsidRPr="008C7DEC" w:rsidRDefault="00070B83" w:rsidP="00070B83">
      <w:pPr>
        <w:pStyle w:val="ListParagraph"/>
        <w:spacing w:after="0"/>
        <w:jc w:val="both"/>
        <w:rPr>
          <w:sz w:val="24"/>
          <w:szCs w:val="24"/>
        </w:rPr>
      </w:pPr>
      <w:r w:rsidRPr="008C7DEC">
        <w:rPr>
          <w:sz w:val="24"/>
          <w:szCs w:val="24"/>
        </w:rPr>
        <w:t xml:space="preserve">Tokens </w:t>
      </w:r>
      <w:r w:rsidR="00D03D82" w:rsidRPr="008C7DEC">
        <w:rPr>
          <w:sz w:val="24"/>
          <w:szCs w:val="24"/>
        </w:rPr>
        <w:t>will</w:t>
      </w:r>
      <w:r w:rsidRPr="008C7DEC">
        <w:rPr>
          <w:sz w:val="24"/>
          <w:szCs w:val="24"/>
        </w:rPr>
        <w:t xml:space="preserve"> works normally with the latest middleware release for signing and encryption purpose. But you cannot download any new certificate on </w:t>
      </w:r>
      <w:r w:rsidR="001B2017" w:rsidRPr="008C7DEC">
        <w:rPr>
          <w:sz w:val="24"/>
          <w:szCs w:val="24"/>
        </w:rPr>
        <w:t>these tokens</w:t>
      </w:r>
      <w:r w:rsidRPr="008C7DEC">
        <w:rPr>
          <w:sz w:val="24"/>
          <w:szCs w:val="24"/>
        </w:rPr>
        <w:t xml:space="preserve"> from April 1, 2023</w:t>
      </w:r>
      <w:r w:rsidR="001B2017" w:rsidRPr="008C7DEC">
        <w:rPr>
          <w:sz w:val="24"/>
          <w:szCs w:val="24"/>
        </w:rPr>
        <w:t>. So you need</w:t>
      </w:r>
      <w:r w:rsidR="00D03D82" w:rsidRPr="008C7DEC">
        <w:rPr>
          <w:sz w:val="24"/>
          <w:szCs w:val="24"/>
        </w:rPr>
        <w:t xml:space="preserve"> not worry to</w:t>
      </w:r>
      <w:r w:rsidR="001B2017" w:rsidRPr="008C7DEC">
        <w:rPr>
          <w:sz w:val="24"/>
          <w:szCs w:val="24"/>
        </w:rPr>
        <w:t xml:space="preserve"> update or replace tokens in which DSC is already downloaded on or before March 31, 2023</w:t>
      </w:r>
    </w:p>
    <w:p w:rsidR="00070B83" w:rsidRPr="00E86CFC" w:rsidRDefault="00070B83" w:rsidP="00E86CFC">
      <w:pPr>
        <w:spacing w:after="0"/>
        <w:jc w:val="both"/>
        <w:rPr>
          <w:sz w:val="24"/>
          <w:szCs w:val="24"/>
        </w:rPr>
      </w:pPr>
    </w:p>
    <w:p w:rsidR="00D57567" w:rsidRPr="008C7DEC" w:rsidRDefault="00D57567" w:rsidP="00D57567">
      <w:pPr>
        <w:pStyle w:val="ListParagraph"/>
        <w:numPr>
          <w:ilvl w:val="0"/>
          <w:numId w:val="1"/>
        </w:numPr>
        <w:spacing w:after="0"/>
        <w:jc w:val="both"/>
        <w:rPr>
          <w:sz w:val="24"/>
          <w:szCs w:val="24"/>
        </w:rPr>
      </w:pPr>
      <w:r w:rsidRPr="008C7DEC">
        <w:rPr>
          <w:i/>
          <w:color w:val="365F91" w:themeColor="accent1" w:themeShade="BF"/>
          <w:sz w:val="24"/>
          <w:szCs w:val="24"/>
        </w:rPr>
        <w:t>Unused Stock of old series token on March 31, 2023</w:t>
      </w:r>
    </w:p>
    <w:p w:rsidR="00164C48" w:rsidRPr="008C7DEC" w:rsidRDefault="00BE5E7A" w:rsidP="003459F1">
      <w:pPr>
        <w:pStyle w:val="ListParagraph"/>
        <w:spacing w:after="0"/>
        <w:jc w:val="both"/>
        <w:rPr>
          <w:sz w:val="24"/>
          <w:szCs w:val="24"/>
        </w:rPr>
      </w:pPr>
      <w:r w:rsidRPr="008C7DEC">
        <w:rPr>
          <w:sz w:val="24"/>
          <w:szCs w:val="24"/>
        </w:rPr>
        <w:t xml:space="preserve">To avoid loss to partner on account of unused stocks, </w:t>
      </w:r>
      <w:r w:rsidR="00AC4D78" w:rsidRPr="008C7DEC">
        <w:rPr>
          <w:sz w:val="24"/>
          <w:szCs w:val="24"/>
        </w:rPr>
        <w:t>existing</w:t>
      </w:r>
      <w:r w:rsidR="00360B4A" w:rsidRPr="008C7DEC">
        <w:rPr>
          <w:sz w:val="24"/>
          <w:szCs w:val="24"/>
        </w:rPr>
        <w:t xml:space="preserve"> unused</w:t>
      </w:r>
      <w:r w:rsidR="00002FCD" w:rsidRPr="008C7DEC">
        <w:rPr>
          <w:sz w:val="24"/>
          <w:szCs w:val="24"/>
        </w:rPr>
        <w:t xml:space="preserve"> eligible</w:t>
      </w:r>
      <w:r w:rsidR="00360B4A" w:rsidRPr="008C7DEC">
        <w:rPr>
          <w:sz w:val="24"/>
          <w:szCs w:val="24"/>
        </w:rPr>
        <w:t xml:space="preserve"> stock of </w:t>
      </w:r>
      <w:r w:rsidR="00196232" w:rsidRPr="008C7DEC">
        <w:rPr>
          <w:sz w:val="24"/>
          <w:szCs w:val="24"/>
        </w:rPr>
        <w:t>ProxKey</w:t>
      </w:r>
      <w:r w:rsidR="00360B4A" w:rsidRPr="008C7DEC">
        <w:rPr>
          <w:sz w:val="24"/>
          <w:szCs w:val="24"/>
        </w:rPr>
        <w:t xml:space="preserve"> tokens</w:t>
      </w:r>
      <w:r w:rsidRPr="008C7DEC">
        <w:rPr>
          <w:sz w:val="24"/>
          <w:szCs w:val="24"/>
        </w:rPr>
        <w:t xml:space="preserve"> are eligible for update to comply with New Guidelines 2.0 on chargeable basis. Only specific serial </w:t>
      </w:r>
      <w:r w:rsidR="00AC4D78" w:rsidRPr="008C7DEC">
        <w:rPr>
          <w:sz w:val="24"/>
          <w:szCs w:val="24"/>
        </w:rPr>
        <w:t>numbers of tokens are</w:t>
      </w:r>
      <w:r w:rsidRPr="008C7DEC">
        <w:rPr>
          <w:sz w:val="24"/>
          <w:szCs w:val="24"/>
        </w:rPr>
        <w:t xml:space="preserve"> eligible for update. A series of tokens which are eligible for u</w:t>
      </w:r>
      <w:r w:rsidR="00164C48" w:rsidRPr="008C7DEC">
        <w:rPr>
          <w:sz w:val="24"/>
          <w:szCs w:val="24"/>
        </w:rPr>
        <w:t xml:space="preserve">pdate shall be released shortly - </w:t>
      </w:r>
      <w:hyperlink r:id="rId9" w:history="1">
        <w:r w:rsidR="00164C48" w:rsidRPr="008C7DEC">
          <w:rPr>
            <w:rStyle w:val="Hyperlink"/>
            <w:sz w:val="24"/>
            <w:szCs w:val="24"/>
          </w:rPr>
          <w:t>https://knowledge.cryptoplanet.in/article/eligble-proxkey-series-of-token-for-update/</w:t>
        </w:r>
      </w:hyperlink>
    </w:p>
    <w:p w:rsidR="00164C48" w:rsidRPr="008C7DEC" w:rsidRDefault="00164C48" w:rsidP="00164C48">
      <w:pPr>
        <w:spacing w:after="0"/>
        <w:ind w:left="360"/>
        <w:jc w:val="both"/>
        <w:rPr>
          <w:sz w:val="24"/>
          <w:szCs w:val="24"/>
        </w:rPr>
      </w:pPr>
    </w:p>
    <w:p w:rsidR="00FD2D97" w:rsidRPr="008C7DEC" w:rsidRDefault="00D76895" w:rsidP="008B0E8A">
      <w:pPr>
        <w:spacing w:after="0"/>
        <w:jc w:val="both"/>
        <w:rPr>
          <w:b/>
          <w:sz w:val="24"/>
          <w:szCs w:val="24"/>
          <w:u w:val="single"/>
        </w:rPr>
      </w:pPr>
      <w:r w:rsidRPr="008C7DEC">
        <w:rPr>
          <w:b/>
          <w:sz w:val="24"/>
          <w:szCs w:val="24"/>
          <w:u w:val="single"/>
        </w:rPr>
        <w:t xml:space="preserve">CHARGES FOR PROXKEY TOKEN UPDATE </w:t>
      </w:r>
    </w:p>
    <w:p w:rsidR="00FD2D97" w:rsidRDefault="00FD2D97" w:rsidP="008B0E8A">
      <w:pPr>
        <w:spacing w:after="0"/>
        <w:jc w:val="both"/>
        <w:rPr>
          <w:b/>
          <w:sz w:val="24"/>
          <w:szCs w:val="24"/>
        </w:rPr>
      </w:pPr>
    </w:p>
    <w:p w:rsidR="00E86CFC" w:rsidRPr="007359EE" w:rsidRDefault="00E86CFC" w:rsidP="007359EE">
      <w:pPr>
        <w:pStyle w:val="ListParagraph"/>
        <w:numPr>
          <w:ilvl w:val="0"/>
          <w:numId w:val="4"/>
        </w:numPr>
        <w:spacing w:after="0"/>
        <w:jc w:val="both"/>
        <w:rPr>
          <w:b/>
          <w:sz w:val="24"/>
          <w:szCs w:val="24"/>
          <w:u w:val="single"/>
        </w:rPr>
      </w:pPr>
      <w:r w:rsidRPr="007359EE">
        <w:rPr>
          <w:b/>
          <w:sz w:val="24"/>
          <w:szCs w:val="24"/>
          <w:u w:val="single"/>
        </w:rPr>
        <w:t>FREE UPDATE OFFER FOR SMALL RA’S</w:t>
      </w:r>
    </w:p>
    <w:p w:rsidR="00E86CFC" w:rsidRDefault="00E86CFC" w:rsidP="008B0E8A">
      <w:pPr>
        <w:spacing w:after="0"/>
        <w:jc w:val="both"/>
        <w:rPr>
          <w:b/>
          <w:sz w:val="24"/>
          <w:szCs w:val="24"/>
          <w:u w:val="single"/>
        </w:rPr>
      </w:pPr>
    </w:p>
    <w:p w:rsidR="00E029AD" w:rsidRDefault="00E86CFC" w:rsidP="008B0E8A">
      <w:pPr>
        <w:spacing w:after="0"/>
        <w:jc w:val="both"/>
        <w:rPr>
          <w:sz w:val="24"/>
          <w:szCs w:val="24"/>
        </w:rPr>
      </w:pPr>
      <w:r>
        <w:rPr>
          <w:sz w:val="24"/>
          <w:szCs w:val="24"/>
        </w:rPr>
        <w:t xml:space="preserve">To </w:t>
      </w:r>
      <w:r w:rsidR="009A6D31">
        <w:rPr>
          <w:sz w:val="24"/>
          <w:szCs w:val="24"/>
        </w:rPr>
        <w:t xml:space="preserve">avoid </w:t>
      </w:r>
      <w:r w:rsidR="00555FD3">
        <w:rPr>
          <w:sz w:val="24"/>
          <w:szCs w:val="24"/>
        </w:rPr>
        <w:t>hardships</w:t>
      </w:r>
      <w:r w:rsidR="00A45097">
        <w:rPr>
          <w:sz w:val="24"/>
          <w:szCs w:val="24"/>
        </w:rPr>
        <w:t xml:space="preserve">, we have launched a special scheme for </w:t>
      </w:r>
      <w:r w:rsidR="007359EE">
        <w:rPr>
          <w:sz w:val="24"/>
          <w:szCs w:val="24"/>
        </w:rPr>
        <w:t xml:space="preserve">small RA’s satisfying below conditions to provide Free of cost update </w:t>
      </w:r>
    </w:p>
    <w:p w:rsidR="00E029AD" w:rsidRDefault="00E029AD" w:rsidP="008B0E8A">
      <w:pPr>
        <w:spacing w:after="0"/>
        <w:jc w:val="both"/>
        <w:rPr>
          <w:sz w:val="24"/>
          <w:szCs w:val="24"/>
        </w:rPr>
      </w:pPr>
    </w:p>
    <w:p w:rsidR="007359EE" w:rsidRDefault="007359EE" w:rsidP="007359EE">
      <w:pPr>
        <w:pStyle w:val="ListParagraph"/>
        <w:numPr>
          <w:ilvl w:val="0"/>
          <w:numId w:val="5"/>
        </w:numPr>
        <w:spacing w:after="0"/>
        <w:jc w:val="both"/>
        <w:rPr>
          <w:sz w:val="24"/>
          <w:szCs w:val="24"/>
        </w:rPr>
      </w:pPr>
      <w:r>
        <w:rPr>
          <w:sz w:val="24"/>
          <w:szCs w:val="24"/>
        </w:rPr>
        <w:t xml:space="preserve">Update for </w:t>
      </w:r>
      <w:r w:rsidR="00673B75">
        <w:rPr>
          <w:sz w:val="24"/>
          <w:szCs w:val="24"/>
        </w:rPr>
        <w:t xml:space="preserve">ProxKey </w:t>
      </w:r>
      <w:r>
        <w:rPr>
          <w:sz w:val="24"/>
          <w:szCs w:val="24"/>
        </w:rPr>
        <w:t>tokens upto 100 quantity shall be available free of cost</w:t>
      </w:r>
      <w:r w:rsidR="00447CD4">
        <w:rPr>
          <w:sz w:val="24"/>
          <w:szCs w:val="24"/>
        </w:rPr>
        <w:t>.</w:t>
      </w:r>
    </w:p>
    <w:p w:rsidR="007359EE" w:rsidRDefault="007359EE" w:rsidP="007359EE">
      <w:pPr>
        <w:pStyle w:val="ListParagraph"/>
        <w:numPr>
          <w:ilvl w:val="0"/>
          <w:numId w:val="5"/>
        </w:numPr>
        <w:spacing w:after="0"/>
        <w:jc w:val="both"/>
        <w:rPr>
          <w:sz w:val="24"/>
          <w:szCs w:val="24"/>
        </w:rPr>
      </w:pPr>
      <w:r>
        <w:rPr>
          <w:sz w:val="24"/>
          <w:szCs w:val="24"/>
        </w:rPr>
        <w:t xml:space="preserve">EKYC verified account </w:t>
      </w:r>
      <w:r w:rsidR="001A09A7">
        <w:rPr>
          <w:sz w:val="24"/>
          <w:szCs w:val="24"/>
        </w:rPr>
        <w:t>with any C</w:t>
      </w:r>
      <w:r w:rsidR="001337EF">
        <w:rPr>
          <w:sz w:val="24"/>
          <w:szCs w:val="24"/>
        </w:rPr>
        <w:t>ertifying Authority (CA)</w:t>
      </w:r>
      <w:r w:rsidR="001A09A7">
        <w:rPr>
          <w:sz w:val="24"/>
          <w:szCs w:val="24"/>
        </w:rPr>
        <w:t xml:space="preserve"> &amp; </w:t>
      </w:r>
      <w:r>
        <w:rPr>
          <w:sz w:val="24"/>
          <w:szCs w:val="24"/>
        </w:rPr>
        <w:t>valid GST number is mandatory to avail this offer</w:t>
      </w:r>
      <w:r w:rsidR="00447CD4">
        <w:rPr>
          <w:sz w:val="24"/>
          <w:szCs w:val="24"/>
        </w:rPr>
        <w:t>.</w:t>
      </w:r>
    </w:p>
    <w:p w:rsidR="007359EE" w:rsidRDefault="007359EE" w:rsidP="007359EE">
      <w:pPr>
        <w:pStyle w:val="ListParagraph"/>
        <w:numPr>
          <w:ilvl w:val="0"/>
          <w:numId w:val="5"/>
        </w:numPr>
        <w:spacing w:after="0"/>
        <w:jc w:val="both"/>
        <w:rPr>
          <w:sz w:val="24"/>
          <w:szCs w:val="24"/>
        </w:rPr>
      </w:pPr>
      <w:r>
        <w:rPr>
          <w:sz w:val="24"/>
          <w:szCs w:val="24"/>
        </w:rPr>
        <w:t>RA’s must</w:t>
      </w:r>
      <w:r w:rsidR="00447CD4">
        <w:rPr>
          <w:sz w:val="24"/>
          <w:szCs w:val="24"/>
        </w:rPr>
        <w:t xml:space="preserve"> additionally</w:t>
      </w:r>
      <w:r>
        <w:rPr>
          <w:sz w:val="24"/>
          <w:szCs w:val="24"/>
        </w:rPr>
        <w:t xml:space="preserve"> submit their GST RC copy while sending the courier to our address and the tokens will be returned to the same address mentioned in the GST RC.</w:t>
      </w:r>
    </w:p>
    <w:p w:rsidR="007359EE" w:rsidRDefault="007359EE" w:rsidP="007359EE">
      <w:pPr>
        <w:pStyle w:val="ListParagraph"/>
        <w:numPr>
          <w:ilvl w:val="0"/>
          <w:numId w:val="5"/>
        </w:numPr>
        <w:spacing w:after="0"/>
        <w:jc w:val="both"/>
        <w:rPr>
          <w:sz w:val="24"/>
          <w:szCs w:val="24"/>
        </w:rPr>
      </w:pPr>
      <w:r>
        <w:rPr>
          <w:sz w:val="24"/>
          <w:szCs w:val="24"/>
        </w:rPr>
        <w:t>A Nominal amount of Rs 200 is payable towards shipping charges. RA’s must pay the same via cheque or online transfer from the same bank account of the entity registered under GST</w:t>
      </w:r>
      <w:r w:rsidR="00447CD4">
        <w:rPr>
          <w:sz w:val="24"/>
          <w:szCs w:val="24"/>
        </w:rPr>
        <w:t>.</w:t>
      </w:r>
    </w:p>
    <w:p w:rsidR="007359EE" w:rsidRDefault="007359EE" w:rsidP="007359EE">
      <w:pPr>
        <w:pStyle w:val="ListParagraph"/>
        <w:numPr>
          <w:ilvl w:val="0"/>
          <w:numId w:val="5"/>
        </w:numPr>
        <w:spacing w:after="0"/>
        <w:jc w:val="both"/>
        <w:rPr>
          <w:sz w:val="24"/>
          <w:szCs w:val="24"/>
        </w:rPr>
      </w:pPr>
      <w:r>
        <w:rPr>
          <w:sz w:val="24"/>
          <w:szCs w:val="24"/>
        </w:rPr>
        <w:t>Offer is valid until 31</w:t>
      </w:r>
      <w:r w:rsidRPr="007359EE">
        <w:rPr>
          <w:sz w:val="24"/>
          <w:szCs w:val="24"/>
          <w:vertAlign w:val="superscript"/>
        </w:rPr>
        <w:t>st</w:t>
      </w:r>
      <w:r>
        <w:rPr>
          <w:sz w:val="24"/>
          <w:szCs w:val="24"/>
        </w:rPr>
        <w:t xml:space="preserve"> March 2023 </w:t>
      </w:r>
      <w:r w:rsidR="002A6760">
        <w:rPr>
          <w:sz w:val="24"/>
          <w:szCs w:val="24"/>
        </w:rPr>
        <w:t xml:space="preserve">&amp; for </w:t>
      </w:r>
      <w:r>
        <w:rPr>
          <w:sz w:val="24"/>
          <w:szCs w:val="24"/>
        </w:rPr>
        <w:t>token</w:t>
      </w:r>
      <w:r w:rsidR="002A6760">
        <w:rPr>
          <w:sz w:val="24"/>
          <w:szCs w:val="24"/>
        </w:rPr>
        <w:t>s received at our address on or before March 31, 2023</w:t>
      </w:r>
      <w:r w:rsidR="00447CD4">
        <w:rPr>
          <w:sz w:val="24"/>
          <w:szCs w:val="24"/>
        </w:rPr>
        <w:t>.</w:t>
      </w:r>
    </w:p>
    <w:p w:rsidR="00447CD4" w:rsidRDefault="0066003D" w:rsidP="002A6760">
      <w:pPr>
        <w:pStyle w:val="ListParagraph"/>
        <w:numPr>
          <w:ilvl w:val="0"/>
          <w:numId w:val="5"/>
        </w:numPr>
        <w:spacing w:after="0"/>
        <w:jc w:val="both"/>
        <w:rPr>
          <w:sz w:val="24"/>
          <w:szCs w:val="24"/>
        </w:rPr>
      </w:pPr>
      <w:r w:rsidRPr="0066003D">
        <w:rPr>
          <w:sz w:val="24"/>
          <w:szCs w:val="24"/>
        </w:rPr>
        <w:t>This offer can be availed once by one GST registered Entity.</w:t>
      </w:r>
    </w:p>
    <w:p w:rsidR="0066003D" w:rsidRPr="0066003D" w:rsidRDefault="0066003D" w:rsidP="0066003D">
      <w:pPr>
        <w:pStyle w:val="ListParagraph"/>
        <w:spacing w:after="0"/>
        <w:jc w:val="both"/>
        <w:rPr>
          <w:sz w:val="24"/>
          <w:szCs w:val="24"/>
        </w:rPr>
      </w:pPr>
    </w:p>
    <w:p w:rsidR="002A6760" w:rsidRPr="00F25511" w:rsidRDefault="002A6760" w:rsidP="002A6760">
      <w:pPr>
        <w:spacing w:after="0"/>
        <w:jc w:val="both"/>
        <w:rPr>
          <w:i/>
          <w:color w:val="FF0000"/>
          <w:sz w:val="20"/>
          <w:szCs w:val="20"/>
        </w:rPr>
      </w:pPr>
      <w:r w:rsidRPr="00F25511">
        <w:rPr>
          <w:i/>
          <w:color w:val="FF0000"/>
          <w:sz w:val="20"/>
          <w:szCs w:val="20"/>
        </w:rPr>
        <w:t>For selected</w:t>
      </w:r>
      <w:r w:rsidR="00245580">
        <w:rPr>
          <w:i/>
          <w:color w:val="FF0000"/>
          <w:sz w:val="20"/>
          <w:szCs w:val="20"/>
        </w:rPr>
        <w:t xml:space="preserve"> &amp; specific</w:t>
      </w:r>
      <w:r w:rsidRPr="00F25511">
        <w:rPr>
          <w:i/>
          <w:color w:val="FF0000"/>
          <w:sz w:val="20"/>
          <w:szCs w:val="20"/>
        </w:rPr>
        <w:t xml:space="preserve"> cases, our team may later contact RA’s to submit their proof of purchase of tokens for further verification</w:t>
      </w:r>
    </w:p>
    <w:p w:rsidR="00E86CFC" w:rsidRDefault="00E86CFC" w:rsidP="008B0E8A">
      <w:pPr>
        <w:spacing w:after="0"/>
        <w:jc w:val="both"/>
        <w:rPr>
          <w:b/>
          <w:sz w:val="24"/>
          <w:szCs w:val="24"/>
        </w:rPr>
      </w:pPr>
    </w:p>
    <w:p w:rsidR="007359EE" w:rsidRPr="007359EE" w:rsidRDefault="007359EE" w:rsidP="007359EE">
      <w:pPr>
        <w:pStyle w:val="ListParagraph"/>
        <w:numPr>
          <w:ilvl w:val="0"/>
          <w:numId w:val="4"/>
        </w:numPr>
        <w:spacing w:after="0"/>
        <w:jc w:val="both"/>
        <w:rPr>
          <w:b/>
          <w:sz w:val="24"/>
          <w:szCs w:val="24"/>
          <w:u w:val="single"/>
        </w:rPr>
      </w:pPr>
      <w:r w:rsidRPr="007359EE">
        <w:rPr>
          <w:b/>
          <w:sz w:val="24"/>
          <w:szCs w:val="24"/>
          <w:u w:val="single"/>
        </w:rPr>
        <w:t>CHARGEABLE UPDATE</w:t>
      </w:r>
    </w:p>
    <w:p w:rsidR="00E86CFC" w:rsidRDefault="00E86CFC" w:rsidP="008B0E8A">
      <w:pPr>
        <w:spacing w:after="0"/>
        <w:jc w:val="both"/>
        <w:rPr>
          <w:b/>
          <w:sz w:val="24"/>
          <w:szCs w:val="24"/>
        </w:rPr>
      </w:pPr>
    </w:p>
    <w:p w:rsidR="00FD2D97" w:rsidRPr="008C7DEC" w:rsidRDefault="00C457E5" w:rsidP="008B0E8A">
      <w:pPr>
        <w:spacing w:after="0"/>
        <w:jc w:val="both"/>
        <w:rPr>
          <w:sz w:val="24"/>
          <w:szCs w:val="24"/>
        </w:rPr>
      </w:pPr>
      <w:r>
        <w:rPr>
          <w:sz w:val="24"/>
          <w:szCs w:val="24"/>
        </w:rPr>
        <w:t xml:space="preserve">For tokens not eligible </w:t>
      </w:r>
      <w:r w:rsidR="008C6A13">
        <w:rPr>
          <w:sz w:val="24"/>
          <w:szCs w:val="24"/>
        </w:rPr>
        <w:t xml:space="preserve">under Free Update </w:t>
      </w:r>
      <w:r>
        <w:rPr>
          <w:sz w:val="24"/>
          <w:szCs w:val="24"/>
        </w:rPr>
        <w:t>as above</w:t>
      </w:r>
      <w:r w:rsidR="00575F77">
        <w:rPr>
          <w:sz w:val="24"/>
          <w:szCs w:val="24"/>
        </w:rPr>
        <w:t>,</w:t>
      </w:r>
      <w:r>
        <w:rPr>
          <w:sz w:val="24"/>
          <w:szCs w:val="24"/>
        </w:rPr>
        <w:t xml:space="preserve"> the update charges shall be </w:t>
      </w:r>
      <w:r w:rsidR="003424FE" w:rsidRPr="00575F77">
        <w:rPr>
          <w:b/>
          <w:color w:val="4F6228" w:themeColor="accent3" w:themeShade="80"/>
          <w:sz w:val="24"/>
          <w:szCs w:val="24"/>
        </w:rPr>
        <w:t xml:space="preserve">INR </w:t>
      </w:r>
      <w:r w:rsidR="003E30BA" w:rsidRPr="00575F77">
        <w:rPr>
          <w:b/>
          <w:color w:val="4F6228" w:themeColor="accent3" w:themeShade="80"/>
          <w:sz w:val="24"/>
          <w:szCs w:val="24"/>
        </w:rPr>
        <w:t>45</w:t>
      </w:r>
      <w:r w:rsidR="003424FE" w:rsidRPr="00575F77">
        <w:rPr>
          <w:b/>
          <w:color w:val="4F6228" w:themeColor="accent3" w:themeShade="80"/>
          <w:sz w:val="24"/>
          <w:szCs w:val="24"/>
        </w:rPr>
        <w:t xml:space="preserve"> per token</w:t>
      </w:r>
      <w:r w:rsidR="00FD2D97" w:rsidRPr="008C7DEC">
        <w:rPr>
          <w:sz w:val="24"/>
          <w:szCs w:val="24"/>
        </w:rPr>
        <w:t xml:space="preserve"> which include</w:t>
      </w:r>
      <w:r>
        <w:rPr>
          <w:sz w:val="24"/>
          <w:szCs w:val="24"/>
        </w:rPr>
        <w:t>s</w:t>
      </w:r>
      <w:r w:rsidR="00FD2D97" w:rsidRPr="008C7DEC">
        <w:rPr>
          <w:sz w:val="24"/>
          <w:szCs w:val="24"/>
        </w:rPr>
        <w:t xml:space="preserve"> Update Cost, GST, Handling, Packing &amp; once side return shipment cost.</w:t>
      </w:r>
      <w:r w:rsidR="00526B3B" w:rsidRPr="008C7DEC">
        <w:rPr>
          <w:sz w:val="24"/>
          <w:szCs w:val="24"/>
        </w:rPr>
        <w:t xml:space="preserve"> For tokens below 100 Quantity an additional shipping charge of Rs 200/- (All Incl</w:t>
      </w:r>
      <w:r w:rsidR="00E87454" w:rsidRPr="008C7DEC">
        <w:rPr>
          <w:sz w:val="24"/>
          <w:szCs w:val="24"/>
        </w:rPr>
        <w:t>usive</w:t>
      </w:r>
      <w:r w:rsidR="00526B3B" w:rsidRPr="008C7DEC">
        <w:rPr>
          <w:sz w:val="24"/>
          <w:szCs w:val="24"/>
        </w:rPr>
        <w:t>) shall be levied</w:t>
      </w:r>
      <w:r w:rsidR="006E1AB2" w:rsidRPr="008C7DEC">
        <w:rPr>
          <w:sz w:val="24"/>
          <w:szCs w:val="24"/>
        </w:rPr>
        <w:t>.</w:t>
      </w:r>
    </w:p>
    <w:p w:rsidR="00FD2D97" w:rsidRPr="008C7DEC" w:rsidRDefault="00FD2D97" w:rsidP="008B0E8A">
      <w:pPr>
        <w:spacing w:after="0"/>
        <w:jc w:val="both"/>
        <w:rPr>
          <w:b/>
          <w:sz w:val="24"/>
          <w:szCs w:val="24"/>
        </w:rPr>
      </w:pPr>
    </w:p>
    <w:p w:rsidR="007B3CBB" w:rsidRPr="008C7DEC" w:rsidRDefault="00D76895" w:rsidP="008B0E8A">
      <w:pPr>
        <w:spacing w:after="0"/>
        <w:jc w:val="both"/>
        <w:rPr>
          <w:b/>
          <w:sz w:val="24"/>
          <w:szCs w:val="24"/>
          <w:u w:val="single"/>
        </w:rPr>
      </w:pPr>
      <w:r w:rsidRPr="008C7DEC">
        <w:rPr>
          <w:b/>
          <w:sz w:val="24"/>
          <w:szCs w:val="24"/>
          <w:u w:val="single"/>
        </w:rPr>
        <w:t>PROCESS TO GET THE UNUSED OLD SERIES TOKEN UPDATED TO THE NEW SERIES TOKEN</w:t>
      </w:r>
    </w:p>
    <w:p w:rsidR="00FD2D97" w:rsidRPr="008C7DEC" w:rsidRDefault="00FD2D97" w:rsidP="008B0E8A">
      <w:pPr>
        <w:spacing w:after="0"/>
        <w:jc w:val="both"/>
        <w:rPr>
          <w:b/>
          <w:sz w:val="24"/>
          <w:szCs w:val="24"/>
        </w:rPr>
      </w:pPr>
    </w:p>
    <w:p w:rsidR="003424FE" w:rsidRPr="008C7DEC" w:rsidRDefault="003424FE" w:rsidP="008B0E8A">
      <w:pPr>
        <w:spacing w:after="0"/>
        <w:jc w:val="both"/>
        <w:rPr>
          <w:sz w:val="24"/>
          <w:szCs w:val="24"/>
        </w:rPr>
      </w:pPr>
      <w:r w:rsidRPr="008C7DEC">
        <w:rPr>
          <w:sz w:val="24"/>
          <w:szCs w:val="24"/>
        </w:rPr>
        <w:t>The update process of unused old series tokens is offline and hence partners need to physically send the tokens to our facility and follow the steps as under:</w:t>
      </w:r>
    </w:p>
    <w:p w:rsidR="003424FE" w:rsidRPr="008C7DEC" w:rsidRDefault="003424FE" w:rsidP="008B0E8A">
      <w:pPr>
        <w:spacing w:after="0"/>
        <w:jc w:val="both"/>
        <w:rPr>
          <w:sz w:val="24"/>
          <w:szCs w:val="24"/>
        </w:rPr>
      </w:pPr>
    </w:p>
    <w:p w:rsidR="003424FE" w:rsidRPr="008C7DEC" w:rsidRDefault="00A350D9" w:rsidP="003424FE">
      <w:pPr>
        <w:pStyle w:val="ListParagraph"/>
        <w:numPr>
          <w:ilvl w:val="0"/>
          <w:numId w:val="2"/>
        </w:numPr>
        <w:spacing w:after="0"/>
        <w:jc w:val="both"/>
        <w:rPr>
          <w:sz w:val="24"/>
          <w:szCs w:val="24"/>
        </w:rPr>
      </w:pPr>
      <w:r w:rsidRPr="008C7DEC">
        <w:rPr>
          <w:sz w:val="24"/>
          <w:szCs w:val="24"/>
        </w:rPr>
        <w:t xml:space="preserve">Step 1 </w:t>
      </w:r>
      <w:r w:rsidR="003424FE" w:rsidRPr="008C7DEC">
        <w:rPr>
          <w:sz w:val="24"/>
          <w:szCs w:val="24"/>
        </w:rPr>
        <w:t>:</w:t>
      </w:r>
      <w:r w:rsidRPr="008C7DEC">
        <w:rPr>
          <w:sz w:val="24"/>
          <w:szCs w:val="24"/>
        </w:rPr>
        <w:t xml:space="preserve"> </w:t>
      </w:r>
      <w:r w:rsidR="003424FE" w:rsidRPr="008C7DEC">
        <w:rPr>
          <w:sz w:val="24"/>
          <w:szCs w:val="24"/>
        </w:rPr>
        <w:t>Check of your token series is eligible for update</w:t>
      </w:r>
      <w:r w:rsidR="00E87454" w:rsidRPr="008C7DEC">
        <w:rPr>
          <w:sz w:val="24"/>
          <w:szCs w:val="24"/>
        </w:rPr>
        <w:t xml:space="preserve"> - </w:t>
      </w:r>
      <w:hyperlink r:id="rId10" w:history="1">
        <w:r w:rsidR="00164C48" w:rsidRPr="008C7DEC">
          <w:rPr>
            <w:rStyle w:val="Hyperlink"/>
            <w:sz w:val="24"/>
            <w:szCs w:val="24"/>
          </w:rPr>
          <w:t>https://knowledge.cryptoplanet.in/article/eligble-proxkey-series-of-token-for-update/</w:t>
        </w:r>
      </w:hyperlink>
    </w:p>
    <w:p w:rsidR="00160DC2" w:rsidRPr="008C7DEC" w:rsidRDefault="00160DC2" w:rsidP="00160DC2">
      <w:pPr>
        <w:pStyle w:val="ListParagraph"/>
        <w:spacing w:after="0"/>
        <w:jc w:val="both"/>
        <w:rPr>
          <w:sz w:val="24"/>
          <w:szCs w:val="24"/>
        </w:rPr>
      </w:pPr>
    </w:p>
    <w:p w:rsidR="003424FE" w:rsidRPr="008C7DEC" w:rsidRDefault="003424FE" w:rsidP="003424FE">
      <w:pPr>
        <w:pStyle w:val="ListParagraph"/>
        <w:numPr>
          <w:ilvl w:val="0"/>
          <w:numId w:val="2"/>
        </w:numPr>
        <w:spacing w:after="0"/>
        <w:jc w:val="both"/>
        <w:rPr>
          <w:sz w:val="24"/>
          <w:szCs w:val="24"/>
        </w:rPr>
      </w:pPr>
      <w:r w:rsidRPr="008C7DEC">
        <w:rPr>
          <w:sz w:val="24"/>
          <w:szCs w:val="24"/>
        </w:rPr>
        <w:t>Step 2 : Take a proper count of tokens and make the payment for update charges in the bank details</w:t>
      </w:r>
      <w:r w:rsidR="00A867CB" w:rsidRPr="008C7DEC">
        <w:rPr>
          <w:sz w:val="24"/>
          <w:szCs w:val="24"/>
        </w:rPr>
        <w:t xml:space="preserve"> or UPI code</w:t>
      </w:r>
      <w:r w:rsidRPr="008C7DEC">
        <w:rPr>
          <w:sz w:val="24"/>
          <w:szCs w:val="24"/>
        </w:rPr>
        <w:t xml:space="preserve"> mentioned here under</w:t>
      </w:r>
    </w:p>
    <w:p w:rsidR="0008275E" w:rsidRPr="008C7DEC" w:rsidRDefault="0008275E" w:rsidP="00160DC2">
      <w:pPr>
        <w:spacing w:after="0"/>
        <w:jc w:val="both"/>
        <w:rPr>
          <w:sz w:val="24"/>
          <w:szCs w:val="24"/>
        </w:rPr>
      </w:pPr>
    </w:p>
    <w:p w:rsidR="003424FE" w:rsidRPr="008C7DEC" w:rsidRDefault="00D03D82" w:rsidP="003424FE">
      <w:pPr>
        <w:pStyle w:val="ListParagraph"/>
        <w:numPr>
          <w:ilvl w:val="0"/>
          <w:numId w:val="2"/>
        </w:numPr>
        <w:spacing w:after="0"/>
        <w:jc w:val="both"/>
        <w:rPr>
          <w:sz w:val="24"/>
          <w:szCs w:val="24"/>
        </w:rPr>
      </w:pPr>
      <w:r w:rsidRPr="008C7DEC">
        <w:rPr>
          <w:sz w:val="24"/>
          <w:szCs w:val="24"/>
        </w:rPr>
        <w:t>Step 3</w:t>
      </w:r>
      <w:r w:rsidR="003424FE" w:rsidRPr="008C7DEC">
        <w:rPr>
          <w:sz w:val="24"/>
          <w:szCs w:val="24"/>
        </w:rPr>
        <w:t xml:space="preserve"> :</w:t>
      </w:r>
      <w:r w:rsidR="00160DC2" w:rsidRPr="008C7DEC">
        <w:rPr>
          <w:sz w:val="24"/>
          <w:szCs w:val="24"/>
        </w:rPr>
        <w:t xml:space="preserve"> Secure pack the tokens and ship it our address</w:t>
      </w:r>
      <w:r w:rsidR="006E1E8E" w:rsidRPr="008C7DEC">
        <w:rPr>
          <w:sz w:val="24"/>
          <w:szCs w:val="24"/>
        </w:rPr>
        <w:t xml:space="preserve"> below</w:t>
      </w:r>
    </w:p>
    <w:p w:rsidR="00160DC2" w:rsidRPr="008C7DEC" w:rsidRDefault="00160DC2" w:rsidP="00160DC2">
      <w:pPr>
        <w:spacing w:after="0"/>
        <w:ind w:left="360"/>
        <w:jc w:val="both"/>
        <w:rPr>
          <w:sz w:val="24"/>
          <w:szCs w:val="24"/>
        </w:rPr>
      </w:pPr>
    </w:p>
    <w:tbl>
      <w:tblPr>
        <w:tblStyle w:val="TableGrid"/>
        <w:tblW w:w="0" w:type="auto"/>
        <w:jc w:val="center"/>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tblGrid>
      <w:tr w:rsidR="004550B1" w:rsidRPr="008C7DEC" w:rsidTr="004550B1">
        <w:trPr>
          <w:jc w:val="center"/>
        </w:trPr>
        <w:tc>
          <w:tcPr>
            <w:tcW w:w="6498" w:type="dxa"/>
          </w:tcPr>
          <w:p w:rsidR="004550B1" w:rsidRPr="008C7DEC" w:rsidRDefault="004550B1" w:rsidP="004550B1">
            <w:pPr>
              <w:ind w:left="342"/>
              <w:jc w:val="center"/>
              <w:rPr>
                <w:b/>
                <w:color w:val="E36C0A" w:themeColor="accent6" w:themeShade="BF"/>
                <w:sz w:val="24"/>
                <w:szCs w:val="24"/>
              </w:rPr>
            </w:pPr>
            <w:r w:rsidRPr="008C7DEC">
              <w:rPr>
                <w:b/>
                <w:color w:val="E36C0A" w:themeColor="accent6" w:themeShade="BF"/>
                <w:sz w:val="24"/>
                <w:szCs w:val="24"/>
              </w:rPr>
              <w:t>&lt;&lt; KINDLY MARK ON THE PACKAGING – UPDATE OF UNUSED PROXKEY TOKEN&gt;&gt;</w:t>
            </w:r>
          </w:p>
          <w:p w:rsidR="004550B1" w:rsidRPr="008C7DEC" w:rsidRDefault="004550B1" w:rsidP="007240AD">
            <w:pPr>
              <w:ind w:left="342"/>
              <w:rPr>
                <w:b/>
                <w:color w:val="E36C0A" w:themeColor="accent6" w:themeShade="BF"/>
                <w:sz w:val="24"/>
                <w:szCs w:val="24"/>
              </w:rPr>
            </w:pPr>
          </w:p>
        </w:tc>
      </w:tr>
      <w:tr w:rsidR="004550B1" w:rsidRPr="008C7DEC" w:rsidTr="004550B1">
        <w:trPr>
          <w:jc w:val="center"/>
        </w:trPr>
        <w:tc>
          <w:tcPr>
            <w:tcW w:w="6498" w:type="dxa"/>
          </w:tcPr>
          <w:p w:rsidR="004550B1" w:rsidRPr="008C7DEC" w:rsidRDefault="004550B1" w:rsidP="00DC4C1D">
            <w:pPr>
              <w:ind w:left="1521"/>
              <w:jc w:val="both"/>
              <w:rPr>
                <w:sz w:val="24"/>
                <w:szCs w:val="24"/>
              </w:rPr>
            </w:pPr>
            <w:r w:rsidRPr="008C7DEC">
              <w:rPr>
                <w:sz w:val="24"/>
                <w:szCs w:val="24"/>
              </w:rPr>
              <w:t>PAGARIA ADVISORY PRIVATE LIMITED</w:t>
            </w:r>
          </w:p>
          <w:p w:rsidR="004550B1" w:rsidRPr="008C7DEC" w:rsidRDefault="004550B1" w:rsidP="00DC4C1D">
            <w:pPr>
              <w:ind w:left="1521"/>
              <w:jc w:val="both"/>
              <w:rPr>
                <w:sz w:val="24"/>
                <w:szCs w:val="24"/>
              </w:rPr>
            </w:pPr>
            <w:r w:rsidRPr="008C7DEC">
              <w:rPr>
                <w:sz w:val="24"/>
                <w:szCs w:val="24"/>
              </w:rPr>
              <w:t>901-902, MAYURESH SQUARE, PLOT -17,</w:t>
            </w:r>
          </w:p>
          <w:p w:rsidR="004550B1" w:rsidRPr="008C7DEC" w:rsidRDefault="004550B1" w:rsidP="00DC4C1D">
            <w:pPr>
              <w:ind w:left="1521"/>
              <w:jc w:val="both"/>
              <w:rPr>
                <w:sz w:val="24"/>
                <w:szCs w:val="24"/>
              </w:rPr>
            </w:pPr>
            <w:r w:rsidRPr="008C7DEC">
              <w:rPr>
                <w:sz w:val="24"/>
                <w:szCs w:val="24"/>
              </w:rPr>
              <w:t>SECTOR -15, CBD BELAPUR, NAVI MUMBAI</w:t>
            </w:r>
          </w:p>
          <w:p w:rsidR="004550B1" w:rsidRPr="008C7DEC" w:rsidRDefault="004550B1" w:rsidP="00DC4C1D">
            <w:pPr>
              <w:ind w:left="1521"/>
              <w:jc w:val="both"/>
              <w:rPr>
                <w:sz w:val="24"/>
                <w:szCs w:val="24"/>
              </w:rPr>
            </w:pPr>
            <w:r w:rsidRPr="008C7DEC">
              <w:rPr>
                <w:sz w:val="24"/>
                <w:szCs w:val="24"/>
              </w:rPr>
              <w:t>MAHARASHTRA, INDIA – 400614</w:t>
            </w:r>
          </w:p>
          <w:p w:rsidR="004550B1" w:rsidRPr="008C7DEC" w:rsidRDefault="004550B1" w:rsidP="00DC4C1D">
            <w:pPr>
              <w:ind w:left="1521"/>
              <w:jc w:val="both"/>
              <w:rPr>
                <w:sz w:val="24"/>
                <w:szCs w:val="24"/>
              </w:rPr>
            </w:pPr>
            <w:r w:rsidRPr="008C7DEC">
              <w:rPr>
                <w:sz w:val="24"/>
                <w:szCs w:val="24"/>
              </w:rPr>
              <w:t>TEL : 022 62644650</w:t>
            </w:r>
          </w:p>
        </w:tc>
      </w:tr>
    </w:tbl>
    <w:p w:rsidR="00FD108C" w:rsidRPr="008C7DEC" w:rsidRDefault="00FD108C" w:rsidP="008B0E8A">
      <w:pPr>
        <w:spacing w:after="0"/>
        <w:jc w:val="both"/>
        <w:rPr>
          <w:b/>
          <w:sz w:val="24"/>
          <w:szCs w:val="24"/>
        </w:rPr>
      </w:pPr>
    </w:p>
    <w:p w:rsidR="00D03D82" w:rsidRPr="008C7DEC" w:rsidRDefault="00D03D82" w:rsidP="00D03D82">
      <w:pPr>
        <w:pStyle w:val="ListParagraph"/>
        <w:numPr>
          <w:ilvl w:val="0"/>
          <w:numId w:val="2"/>
        </w:numPr>
        <w:spacing w:after="0"/>
        <w:jc w:val="both"/>
        <w:rPr>
          <w:sz w:val="24"/>
          <w:szCs w:val="24"/>
        </w:rPr>
      </w:pPr>
      <w:r w:rsidRPr="008C7DEC">
        <w:rPr>
          <w:sz w:val="24"/>
          <w:szCs w:val="24"/>
        </w:rPr>
        <w:t>Step 4 : Send an email on ‘support@pagariagroup.com’ with Subject ‘</w:t>
      </w:r>
      <w:r w:rsidRPr="008C7DEC">
        <w:rPr>
          <w:b/>
          <w:sz w:val="24"/>
          <w:szCs w:val="24"/>
        </w:rPr>
        <w:t>Update of Unused ProxKey Token</w:t>
      </w:r>
      <w:r w:rsidRPr="008C7DEC">
        <w:rPr>
          <w:sz w:val="24"/>
          <w:szCs w:val="24"/>
        </w:rPr>
        <w:t xml:space="preserve">’ with the following details </w:t>
      </w:r>
      <w:r w:rsidRPr="008C7DEC">
        <w:rPr>
          <w:i/>
          <w:color w:val="E36C0A" w:themeColor="accent6" w:themeShade="BF"/>
          <w:sz w:val="24"/>
          <w:szCs w:val="24"/>
        </w:rPr>
        <w:t>(All details are mandatory except GST number)</w:t>
      </w:r>
    </w:p>
    <w:p w:rsidR="00D03D82" w:rsidRPr="008C7DEC" w:rsidRDefault="00D03D82" w:rsidP="00D03D82">
      <w:pPr>
        <w:pStyle w:val="ListParagraph"/>
        <w:numPr>
          <w:ilvl w:val="1"/>
          <w:numId w:val="2"/>
        </w:numPr>
        <w:spacing w:after="0"/>
        <w:jc w:val="both"/>
        <w:rPr>
          <w:sz w:val="24"/>
          <w:szCs w:val="24"/>
        </w:rPr>
      </w:pPr>
      <w:r w:rsidRPr="008C7DEC">
        <w:rPr>
          <w:sz w:val="24"/>
          <w:szCs w:val="24"/>
        </w:rPr>
        <w:t>Company Name :</w:t>
      </w:r>
    </w:p>
    <w:p w:rsidR="00D03D82" w:rsidRPr="008C7DEC" w:rsidRDefault="00D03D82" w:rsidP="00D03D82">
      <w:pPr>
        <w:pStyle w:val="ListParagraph"/>
        <w:numPr>
          <w:ilvl w:val="1"/>
          <w:numId w:val="2"/>
        </w:numPr>
        <w:spacing w:after="0"/>
        <w:jc w:val="both"/>
        <w:rPr>
          <w:sz w:val="24"/>
          <w:szCs w:val="24"/>
        </w:rPr>
      </w:pPr>
      <w:r w:rsidRPr="008C7DEC">
        <w:rPr>
          <w:sz w:val="24"/>
          <w:szCs w:val="24"/>
        </w:rPr>
        <w:t>Contact Number :</w:t>
      </w:r>
    </w:p>
    <w:p w:rsidR="00D03D82" w:rsidRPr="008C7DEC" w:rsidRDefault="00D03D82" w:rsidP="00D03D82">
      <w:pPr>
        <w:pStyle w:val="ListParagraph"/>
        <w:numPr>
          <w:ilvl w:val="1"/>
          <w:numId w:val="2"/>
        </w:numPr>
        <w:spacing w:after="0"/>
        <w:jc w:val="both"/>
        <w:rPr>
          <w:sz w:val="24"/>
          <w:szCs w:val="24"/>
        </w:rPr>
      </w:pPr>
      <w:r w:rsidRPr="008C7DEC">
        <w:rPr>
          <w:sz w:val="24"/>
          <w:szCs w:val="24"/>
        </w:rPr>
        <w:t>GST Number (Optional) :</w:t>
      </w:r>
    </w:p>
    <w:p w:rsidR="00D03D82" w:rsidRPr="008C7DEC" w:rsidRDefault="00D03D82" w:rsidP="00D03D82">
      <w:pPr>
        <w:pStyle w:val="ListParagraph"/>
        <w:numPr>
          <w:ilvl w:val="1"/>
          <w:numId w:val="2"/>
        </w:numPr>
        <w:spacing w:after="0"/>
        <w:jc w:val="both"/>
        <w:rPr>
          <w:sz w:val="24"/>
          <w:szCs w:val="24"/>
        </w:rPr>
      </w:pPr>
      <w:r w:rsidRPr="008C7DEC">
        <w:rPr>
          <w:sz w:val="24"/>
          <w:szCs w:val="24"/>
        </w:rPr>
        <w:t xml:space="preserve">Token Count : </w:t>
      </w:r>
    </w:p>
    <w:p w:rsidR="00D03D82" w:rsidRPr="008C7DEC" w:rsidRDefault="00D03D82" w:rsidP="00D03D82">
      <w:pPr>
        <w:pStyle w:val="ListParagraph"/>
        <w:numPr>
          <w:ilvl w:val="1"/>
          <w:numId w:val="2"/>
        </w:numPr>
        <w:spacing w:after="0"/>
        <w:jc w:val="both"/>
        <w:rPr>
          <w:sz w:val="24"/>
          <w:szCs w:val="24"/>
        </w:rPr>
      </w:pPr>
      <w:r w:rsidRPr="008C7DEC">
        <w:rPr>
          <w:sz w:val="24"/>
          <w:szCs w:val="24"/>
        </w:rPr>
        <w:t>Address with PIN Code : &lt;&lt;Address to ship back the updated token&gt;&gt;</w:t>
      </w:r>
    </w:p>
    <w:p w:rsidR="00D03D82" w:rsidRPr="008C7DEC" w:rsidRDefault="00D03D82" w:rsidP="00D03D82">
      <w:pPr>
        <w:pStyle w:val="ListParagraph"/>
        <w:numPr>
          <w:ilvl w:val="1"/>
          <w:numId w:val="2"/>
        </w:numPr>
        <w:spacing w:after="0"/>
        <w:jc w:val="both"/>
        <w:rPr>
          <w:sz w:val="24"/>
          <w:szCs w:val="24"/>
        </w:rPr>
      </w:pPr>
      <w:r w:rsidRPr="008C7DEC">
        <w:rPr>
          <w:sz w:val="24"/>
          <w:szCs w:val="24"/>
        </w:rPr>
        <w:t>Payment Details :</w:t>
      </w:r>
    </w:p>
    <w:p w:rsidR="00416953" w:rsidRPr="008C7DEC" w:rsidRDefault="00416953" w:rsidP="00D03D82">
      <w:pPr>
        <w:pStyle w:val="ListParagraph"/>
        <w:numPr>
          <w:ilvl w:val="1"/>
          <w:numId w:val="2"/>
        </w:numPr>
        <w:spacing w:after="0"/>
        <w:jc w:val="both"/>
        <w:rPr>
          <w:sz w:val="24"/>
          <w:szCs w:val="24"/>
        </w:rPr>
      </w:pPr>
      <w:r w:rsidRPr="008C7DEC">
        <w:rPr>
          <w:sz w:val="24"/>
          <w:szCs w:val="24"/>
        </w:rPr>
        <w:t>Courier Docket Details</w:t>
      </w:r>
      <w:r w:rsidR="00D27225" w:rsidRPr="008C7DEC">
        <w:rPr>
          <w:sz w:val="24"/>
          <w:szCs w:val="24"/>
        </w:rPr>
        <w:t xml:space="preserve"> : </w:t>
      </w:r>
    </w:p>
    <w:p w:rsidR="00FD108C" w:rsidRDefault="00FD108C" w:rsidP="00D03D82">
      <w:pPr>
        <w:pStyle w:val="ListParagraph"/>
        <w:spacing w:after="0"/>
        <w:jc w:val="both"/>
        <w:rPr>
          <w:b/>
          <w:sz w:val="24"/>
          <w:szCs w:val="24"/>
        </w:rPr>
      </w:pPr>
    </w:p>
    <w:p w:rsidR="00F36CF8" w:rsidRDefault="00F36CF8" w:rsidP="00D03D82">
      <w:pPr>
        <w:pStyle w:val="ListParagraph"/>
        <w:spacing w:after="0"/>
        <w:jc w:val="both"/>
        <w:rPr>
          <w:b/>
          <w:sz w:val="24"/>
          <w:szCs w:val="24"/>
        </w:rPr>
      </w:pPr>
    </w:p>
    <w:p w:rsidR="00F36CF8" w:rsidRPr="008C7DEC" w:rsidRDefault="00F36CF8" w:rsidP="00D03D82">
      <w:pPr>
        <w:pStyle w:val="ListParagraph"/>
        <w:spacing w:after="0"/>
        <w:jc w:val="both"/>
        <w:rPr>
          <w:b/>
          <w:sz w:val="24"/>
          <w:szCs w:val="24"/>
        </w:rPr>
      </w:pPr>
    </w:p>
    <w:p w:rsidR="00FD2D97" w:rsidRPr="008C7DEC" w:rsidRDefault="00FD2D97" w:rsidP="008B0E8A">
      <w:pPr>
        <w:spacing w:after="0"/>
        <w:jc w:val="both"/>
        <w:rPr>
          <w:b/>
          <w:i/>
          <w:sz w:val="24"/>
          <w:szCs w:val="24"/>
        </w:rPr>
      </w:pPr>
      <w:r w:rsidRPr="008C7DEC">
        <w:rPr>
          <w:b/>
          <w:i/>
          <w:sz w:val="24"/>
          <w:szCs w:val="24"/>
        </w:rPr>
        <w:t>Important Points before sending the tokens</w:t>
      </w:r>
    </w:p>
    <w:p w:rsidR="00FD2D97" w:rsidRPr="008C7DEC" w:rsidRDefault="00FD2D97" w:rsidP="008B0E8A">
      <w:pPr>
        <w:spacing w:after="0"/>
        <w:jc w:val="both"/>
        <w:rPr>
          <w:sz w:val="24"/>
          <w:szCs w:val="24"/>
        </w:rPr>
      </w:pPr>
    </w:p>
    <w:p w:rsidR="00FD2D97" w:rsidRPr="008C7DEC" w:rsidRDefault="00FD2D97" w:rsidP="00FD2D97">
      <w:pPr>
        <w:pStyle w:val="ListParagraph"/>
        <w:numPr>
          <w:ilvl w:val="0"/>
          <w:numId w:val="1"/>
        </w:numPr>
        <w:spacing w:after="0"/>
        <w:jc w:val="both"/>
        <w:rPr>
          <w:sz w:val="24"/>
          <w:szCs w:val="24"/>
        </w:rPr>
      </w:pPr>
      <w:r w:rsidRPr="008C7DEC">
        <w:rPr>
          <w:sz w:val="24"/>
          <w:szCs w:val="24"/>
        </w:rPr>
        <w:t>Kindly make the payment for update charges before sending the tokens by courier. Payment details needs to be mentioned in the email sent by you. Token courier parcels without payment details will not be received</w:t>
      </w:r>
    </w:p>
    <w:p w:rsidR="00FD2D97" w:rsidRPr="006A2996" w:rsidRDefault="00FD2D97" w:rsidP="00FD2D97">
      <w:pPr>
        <w:pStyle w:val="ListParagraph"/>
        <w:spacing w:after="0"/>
        <w:jc w:val="both"/>
        <w:rPr>
          <w:sz w:val="10"/>
          <w:szCs w:val="10"/>
        </w:rPr>
      </w:pPr>
    </w:p>
    <w:p w:rsidR="003424FE" w:rsidRPr="008C7DEC" w:rsidRDefault="00FD2D97" w:rsidP="00FD2D97">
      <w:pPr>
        <w:pStyle w:val="ListParagraph"/>
        <w:numPr>
          <w:ilvl w:val="0"/>
          <w:numId w:val="1"/>
        </w:numPr>
        <w:spacing w:after="0"/>
        <w:jc w:val="both"/>
        <w:rPr>
          <w:sz w:val="24"/>
          <w:szCs w:val="24"/>
        </w:rPr>
      </w:pPr>
      <w:r w:rsidRPr="008C7DEC">
        <w:rPr>
          <w:sz w:val="24"/>
          <w:szCs w:val="24"/>
        </w:rPr>
        <w:t>Do not send used or ineligible series of tokens for update. Tokens will not be usable for such series and you will also lose the update charges paid.</w:t>
      </w:r>
    </w:p>
    <w:p w:rsidR="003424FE" w:rsidRPr="006A2996" w:rsidRDefault="003424FE" w:rsidP="003424FE">
      <w:pPr>
        <w:pStyle w:val="ListParagraph"/>
        <w:rPr>
          <w:sz w:val="10"/>
          <w:szCs w:val="10"/>
        </w:rPr>
      </w:pPr>
    </w:p>
    <w:p w:rsidR="00FD2D97" w:rsidRPr="008C7DEC" w:rsidRDefault="003424FE" w:rsidP="00FD2D97">
      <w:pPr>
        <w:pStyle w:val="ListParagraph"/>
        <w:numPr>
          <w:ilvl w:val="0"/>
          <w:numId w:val="1"/>
        </w:numPr>
        <w:spacing w:after="0"/>
        <w:jc w:val="both"/>
        <w:rPr>
          <w:sz w:val="24"/>
          <w:szCs w:val="24"/>
        </w:rPr>
      </w:pPr>
      <w:r w:rsidRPr="008C7DEC">
        <w:rPr>
          <w:sz w:val="24"/>
          <w:szCs w:val="24"/>
        </w:rPr>
        <w:t>Share complete details on email before sending the tokens to our address</w:t>
      </w:r>
      <w:r w:rsidR="00FD2D97" w:rsidRPr="008C7DEC">
        <w:rPr>
          <w:sz w:val="24"/>
          <w:szCs w:val="24"/>
        </w:rPr>
        <w:t xml:space="preserve"> </w:t>
      </w:r>
    </w:p>
    <w:p w:rsidR="00CF2075" w:rsidRPr="006A2996" w:rsidRDefault="00CF2075" w:rsidP="00CF2075">
      <w:pPr>
        <w:pStyle w:val="ListParagraph"/>
        <w:rPr>
          <w:sz w:val="10"/>
          <w:szCs w:val="10"/>
        </w:rPr>
      </w:pPr>
    </w:p>
    <w:p w:rsidR="00CF2075" w:rsidRPr="008C7DEC" w:rsidRDefault="00CF2075" w:rsidP="00FD2D97">
      <w:pPr>
        <w:pStyle w:val="ListParagraph"/>
        <w:numPr>
          <w:ilvl w:val="0"/>
          <w:numId w:val="1"/>
        </w:numPr>
        <w:spacing w:after="0"/>
        <w:jc w:val="both"/>
        <w:rPr>
          <w:sz w:val="24"/>
          <w:szCs w:val="24"/>
        </w:rPr>
      </w:pPr>
      <w:r w:rsidRPr="008C7DEC">
        <w:rPr>
          <w:sz w:val="24"/>
          <w:szCs w:val="24"/>
        </w:rPr>
        <w:t>Kindly ensure to mention your PIN code in the return courier address.</w:t>
      </w:r>
    </w:p>
    <w:p w:rsidR="00AE0495" w:rsidRPr="006A2996" w:rsidRDefault="00AE0495" w:rsidP="00AE0495">
      <w:pPr>
        <w:pStyle w:val="ListParagraph"/>
        <w:rPr>
          <w:sz w:val="10"/>
          <w:szCs w:val="10"/>
        </w:rPr>
      </w:pPr>
    </w:p>
    <w:p w:rsidR="00AE0495" w:rsidRPr="008C7DEC" w:rsidRDefault="00AE0495" w:rsidP="00FD2D97">
      <w:pPr>
        <w:pStyle w:val="ListParagraph"/>
        <w:numPr>
          <w:ilvl w:val="0"/>
          <w:numId w:val="1"/>
        </w:numPr>
        <w:spacing w:after="0"/>
        <w:jc w:val="both"/>
        <w:rPr>
          <w:sz w:val="24"/>
          <w:szCs w:val="24"/>
        </w:rPr>
      </w:pPr>
      <w:r w:rsidRPr="008C7DEC">
        <w:rPr>
          <w:sz w:val="24"/>
          <w:szCs w:val="24"/>
        </w:rPr>
        <w:t>Once you dispatch the courier to our address, kindly share the courier details on the same trail email. Do not change the subject</w:t>
      </w:r>
    </w:p>
    <w:p w:rsidR="00937899" w:rsidRDefault="00937899" w:rsidP="00657B5C">
      <w:pPr>
        <w:spacing w:after="0"/>
        <w:jc w:val="both"/>
        <w:rPr>
          <w:b/>
          <w:sz w:val="24"/>
          <w:szCs w:val="24"/>
          <w:u w:val="single"/>
        </w:rPr>
      </w:pPr>
    </w:p>
    <w:p w:rsidR="00657B5C" w:rsidRPr="008C7DEC" w:rsidRDefault="00657B5C" w:rsidP="00657B5C">
      <w:pPr>
        <w:spacing w:after="0"/>
        <w:jc w:val="both"/>
        <w:rPr>
          <w:b/>
          <w:sz w:val="24"/>
          <w:szCs w:val="24"/>
          <w:u w:val="single"/>
        </w:rPr>
      </w:pPr>
      <w:r w:rsidRPr="008C7DEC">
        <w:rPr>
          <w:b/>
          <w:sz w:val="24"/>
          <w:szCs w:val="24"/>
          <w:u w:val="single"/>
        </w:rPr>
        <w:t>TIME REQUIRED TO GET BACK THE UPDATED TOKENS</w:t>
      </w:r>
    </w:p>
    <w:p w:rsidR="00657B5C" w:rsidRPr="008C7DEC" w:rsidRDefault="00657B5C" w:rsidP="00657B5C">
      <w:pPr>
        <w:spacing w:after="0"/>
        <w:jc w:val="both"/>
        <w:rPr>
          <w:b/>
          <w:sz w:val="24"/>
          <w:szCs w:val="24"/>
          <w:u w:val="single"/>
        </w:rPr>
      </w:pPr>
    </w:p>
    <w:p w:rsidR="00657B5C" w:rsidRPr="008C7DEC" w:rsidRDefault="00055590" w:rsidP="00657B5C">
      <w:pPr>
        <w:spacing w:after="0"/>
        <w:jc w:val="both"/>
        <w:rPr>
          <w:sz w:val="24"/>
          <w:szCs w:val="24"/>
        </w:rPr>
      </w:pPr>
      <w:r w:rsidRPr="008C7DEC">
        <w:rPr>
          <w:sz w:val="24"/>
          <w:szCs w:val="24"/>
        </w:rPr>
        <w:t xml:space="preserve">The update process usually takes 4-6 weeks from the date of receipt of tokens at our address depending on the quantum of tokens. Dispatch for the updated tokens is expected to start from Mid May 2023. The timelines are tentative and may change due to quantum of token. </w:t>
      </w:r>
      <w:r w:rsidR="00B232C0" w:rsidRPr="008C7DEC">
        <w:rPr>
          <w:sz w:val="24"/>
          <w:szCs w:val="24"/>
        </w:rPr>
        <w:t>Our team will intimate you via email once the tokens are ready for dispatch.</w:t>
      </w:r>
    </w:p>
    <w:p w:rsidR="007B3CBB" w:rsidRPr="008C7DEC" w:rsidRDefault="007B3CBB" w:rsidP="008B0E8A">
      <w:pPr>
        <w:spacing w:after="0"/>
        <w:jc w:val="both"/>
        <w:rPr>
          <w:sz w:val="24"/>
          <w:szCs w:val="24"/>
        </w:rPr>
      </w:pPr>
    </w:p>
    <w:p w:rsidR="007B3CBB" w:rsidRPr="008C7DEC" w:rsidRDefault="006615B8" w:rsidP="008B0E8A">
      <w:pPr>
        <w:spacing w:after="0"/>
        <w:jc w:val="both"/>
        <w:rPr>
          <w:b/>
          <w:sz w:val="24"/>
          <w:szCs w:val="24"/>
          <w:u w:val="single"/>
        </w:rPr>
      </w:pPr>
      <w:r w:rsidRPr="008C7DEC">
        <w:rPr>
          <w:b/>
          <w:sz w:val="24"/>
          <w:szCs w:val="24"/>
          <w:u w:val="single"/>
        </w:rPr>
        <w:t>TIME PERIOD FOR</w:t>
      </w:r>
      <w:r w:rsidR="00DD17B5" w:rsidRPr="008C7DEC">
        <w:rPr>
          <w:b/>
          <w:sz w:val="24"/>
          <w:szCs w:val="24"/>
          <w:u w:val="single"/>
        </w:rPr>
        <w:t xml:space="preserve"> SEND</w:t>
      </w:r>
      <w:r w:rsidRPr="008C7DEC">
        <w:rPr>
          <w:b/>
          <w:sz w:val="24"/>
          <w:szCs w:val="24"/>
          <w:u w:val="single"/>
        </w:rPr>
        <w:t xml:space="preserve"> UNUSED OLD SERIES TOKEN</w:t>
      </w:r>
      <w:r w:rsidR="00DD17B5" w:rsidRPr="008C7DEC">
        <w:rPr>
          <w:b/>
          <w:sz w:val="24"/>
          <w:szCs w:val="24"/>
          <w:u w:val="single"/>
        </w:rPr>
        <w:t xml:space="preserve"> FOR </w:t>
      </w:r>
      <w:r w:rsidRPr="008C7DEC">
        <w:rPr>
          <w:b/>
          <w:sz w:val="24"/>
          <w:szCs w:val="24"/>
          <w:u w:val="single"/>
        </w:rPr>
        <w:t>UPDATE</w:t>
      </w:r>
    </w:p>
    <w:p w:rsidR="00AC4D78" w:rsidRPr="008C7DEC" w:rsidRDefault="00AC4D78" w:rsidP="008B0E8A">
      <w:pPr>
        <w:spacing w:after="0"/>
        <w:jc w:val="both"/>
        <w:rPr>
          <w:b/>
          <w:sz w:val="24"/>
          <w:szCs w:val="24"/>
        </w:rPr>
      </w:pPr>
    </w:p>
    <w:p w:rsidR="00AC4D78" w:rsidRPr="008C7DEC" w:rsidRDefault="00AC4D78" w:rsidP="008B0E8A">
      <w:pPr>
        <w:spacing w:after="0"/>
        <w:jc w:val="both"/>
        <w:rPr>
          <w:sz w:val="24"/>
          <w:szCs w:val="24"/>
        </w:rPr>
      </w:pPr>
      <w:r w:rsidRPr="008C7DEC">
        <w:rPr>
          <w:sz w:val="24"/>
          <w:szCs w:val="24"/>
        </w:rPr>
        <w:t>Tokens can be sent for update only for a limited period of time from March 20, 2023 to April 30, 2023</w:t>
      </w:r>
      <w:r w:rsidR="001D1B11" w:rsidRPr="008C7DEC">
        <w:rPr>
          <w:sz w:val="24"/>
          <w:szCs w:val="24"/>
        </w:rPr>
        <w:t xml:space="preserve"> as this is facility is only made available to avoid loss to partners of unused stock of old series tokens</w:t>
      </w:r>
    </w:p>
    <w:p w:rsidR="007B3CBB" w:rsidRPr="008C7DEC" w:rsidRDefault="007B3CBB" w:rsidP="008B0E8A">
      <w:pPr>
        <w:spacing w:after="0"/>
        <w:jc w:val="both"/>
        <w:rPr>
          <w:sz w:val="24"/>
          <w:szCs w:val="24"/>
        </w:rPr>
      </w:pPr>
    </w:p>
    <w:p w:rsidR="007B3CBB" w:rsidRPr="008C7DEC" w:rsidRDefault="006615B8" w:rsidP="008B0E8A">
      <w:pPr>
        <w:spacing w:after="0"/>
        <w:jc w:val="both"/>
        <w:rPr>
          <w:b/>
          <w:sz w:val="24"/>
          <w:szCs w:val="24"/>
          <w:u w:val="single"/>
        </w:rPr>
      </w:pPr>
      <w:r w:rsidRPr="008C7DEC">
        <w:rPr>
          <w:b/>
          <w:sz w:val="24"/>
          <w:szCs w:val="24"/>
          <w:u w:val="single"/>
        </w:rPr>
        <w:t>BANK DETAILS FOR PAYMENT</w:t>
      </w:r>
    </w:p>
    <w:p w:rsidR="00CF2075" w:rsidRPr="008C7DEC" w:rsidRDefault="00CF2075" w:rsidP="008B0E8A">
      <w:pPr>
        <w:spacing w:after="0"/>
        <w:jc w:val="both"/>
        <w:rPr>
          <w:b/>
          <w:sz w:val="24"/>
          <w:szCs w:val="24"/>
        </w:rPr>
      </w:pPr>
    </w:p>
    <w:tbl>
      <w:tblPr>
        <w:tblStyle w:val="TableGrid"/>
        <w:tblW w:w="9288" w:type="dxa"/>
        <w:tblLook w:val="04A0"/>
      </w:tblPr>
      <w:tblGrid>
        <w:gridCol w:w="2947"/>
        <w:gridCol w:w="2700"/>
        <w:gridCol w:w="3780"/>
      </w:tblGrid>
      <w:tr w:rsidR="007B3CBB" w:rsidRPr="008C7DEC" w:rsidTr="00FD2D97">
        <w:trPr>
          <w:trHeight w:val="629"/>
        </w:trPr>
        <w:tc>
          <w:tcPr>
            <w:tcW w:w="2808" w:type="dxa"/>
            <w:vAlign w:val="center"/>
          </w:tcPr>
          <w:p w:rsidR="007B3CBB" w:rsidRPr="008C7DEC" w:rsidRDefault="001F1488" w:rsidP="00FD2D97">
            <w:pPr>
              <w:jc w:val="center"/>
              <w:rPr>
                <w:rFonts w:ascii="Calibri" w:eastAsia="Times New Roman" w:hAnsi="Calibri" w:cs="Calibri"/>
                <w:b/>
                <w:color w:val="000000"/>
                <w:sz w:val="24"/>
                <w:szCs w:val="24"/>
              </w:rPr>
            </w:pPr>
            <w:r w:rsidRPr="008C7DEC">
              <w:rPr>
                <w:rFonts w:ascii="Calibri" w:eastAsia="Times New Roman" w:hAnsi="Calibri" w:cs="Calibri"/>
                <w:b/>
                <w:color w:val="000000"/>
                <w:sz w:val="24"/>
                <w:szCs w:val="24"/>
              </w:rPr>
              <w:t>UPI QR CODE</w:t>
            </w:r>
          </w:p>
        </w:tc>
        <w:tc>
          <w:tcPr>
            <w:tcW w:w="6480" w:type="dxa"/>
            <w:gridSpan w:val="2"/>
            <w:tcBorders>
              <w:bottom w:val="single" w:sz="4" w:space="0" w:color="auto"/>
            </w:tcBorders>
            <w:noWrap/>
            <w:vAlign w:val="center"/>
            <w:hideMark/>
          </w:tcPr>
          <w:p w:rsidR="007B3CBB" w:rsidRPr="008C7DEC" w:rsidRDefault="001F1488" w:rsidP="00FD2D97">
            <w:pPr>
              <w:jc w:val="center"/>
              <w:rPr>
                <w:rFonts w:ascii="Calibri" w:eastAsia="Times New Roman" w:hAnsi="Calibri" w:cs="Calibri"/>
                <w:b/>
                <w:color w:val="000000"/>
                <w:sz w:val="24"/>
                <w:szCs w:val="24"/>
              </w:rPr>
            </w:pPr>
            <w:r w:rsidRPr="008C7DEC">
              <w:rPr>
                <w:rFonts w:ascii="Calibri" w:eastAsia="Times New Roman" w:hAnsi="Calibri" w:cs="Calibri"/>
                <w:b/>
                <w:color w:val="000000"/>
                <w:sz w:val="24"/>
                <w:szCs w:val="24"/>
              </w:rPr>
              <w:t>BANK DETAILS</w:t>
            </w:r>
          </w:p>
        </w:tc>
      </w:tr>
      <w:tr w:rsidR="004474F3" w:rsidRPr="008C7DEC" w:rsidTr="00FD2D97">
        <w:trPr>
          <w:trHeight w:val="566"/>
        </w:trPr>
        <w:tc>
          <w:tcPr>
            <w:tcW w:w="2808" w:type="dxa"/>
            <w:vMerge w:val="restart"/>
            <w:vAlign w:val="center"/>
          </w:tcPr>
          <w:p w:rsidR="004474F3" w:rsidRPr="008C7DEC" w:rsidRDefault="005970AA" w:rsidP="00FD2D97">
            <w:pPr>
              <w:jc w:val="center"/>
              <w:rPr>
                <w:rFonts w:ascii="Calibri" w:eastAsia="Times New Roman" w:hAnsi="Calibri" w:cs="Calibri"/>
                <w:color w:val="000000"/>
                <w:sz w:val="24"/>
                <w:szCs w:val="24"/>
              </w:rPr>
            </w:pPr>
            <w:r w:rsidRPr="008C7DEC">
              <w:rPr>
                <w:rFonts w:ascii="Calibri" w:eastAsia="Times New Roman" w:hAnsi="Calibri" w:cs="Calibri"/>
                <w:noProof/>
                <w:color w:val="000000"/>
                <w:sz w:val="24"/>
                <w:szCs w:val="24"/>
              </w:rPr>
              <w:drawing>
                <wp:inline distT="0" distB="0" distL="0" distR="0">
                  <wp:extent cx="1714859" cy="1727684"/>
                  <wp:effectExtent l="19050" t="0" r="0" b="0"/>
                  <wp:docPr id="3" name="Picture 2" descr="img_202348615123263030786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4861512326303078673.jpeg"/>
                          <pic:cNvPicPr/>
                        </pic:nvPicPr>
                        <pic:blipFill>
                          <a:blip r:embed="rId11" cstate="print"/>
                          <a:stretch>
                            <a:fillRect/>
                          </a:stretch>
                        </pic:blipFill>
                        <pic:spPr>
                          <a:xfrm>
                            <a:off x="0" y="0"/>
                            <a:ext cx="1714912" cy="1727737"/>
                          </a:xfrm>
                          <a:prstGeom prst="rect">
                            <a:avLst/>
                          </a:prstGeom>
                        </pic:spPr>
                      </pic:pic>
                    </a:graphicData>
                  </a:graphic>
                </wp:inline>
              </w:drawing>
            </w:r>
          </w:p>
        </w:tc>
        <w:tc>
          <w:tcPr>
            <w:tcW w:w="2700" w:type="dxa"/>
            <w:tcBorders>
              <w:righ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ACCOUNT NAME</w:t>
            </w:r>
          </w:p>
        </w:tc>
        <w:tc>
          <w:tcPr>
            <w:tcW w:w="3780" w:type="dxa"/>
            <w:tcBorders>
              <w:lef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 PAGARIA ADVISORY PVT. LTD.</w:t>
            </w:r>
          </w:p>
        </w:tc>
      </w:tr>
      <w:tr w:rsidR="004474F3" w:rsidRPr="008C7DEC" w:rsidTr="005970AA">
        <w:trPr>
          <w:trHeight w:val="611"/>
        </w:trPr>
        <w:tc>
          <w:tcPr>
            <w:tcW w:w="2808" w:type="dxa"/>
            <w:vMerge/>
          </w:tcPr>
          <w:p w:rsidR="004474F3" w:rsidRPr="008C7DEC" w:rsidRDefault="004474F3" w:rsidP="008B0E8A">
            <w:pPr>
              <w:jc w:val="both"/>
              <w:rPr>
                <w:rFonts w:ascii="Calibri" w:eastAsia="Times New Roman" w:hAnsi="Calibri" w:cs="Calibri"/>
                <w:color w:val="000000"/>
                <w:sz w:val="24"/>
                <w:szCs w:val="24"/>
              </w:rPr>
            </w:pPr>
          </w:p>
        </w:tc>
        <w:tc>
          <w:tcPr>
            <w:tcW w:w="2700" w:type="dxa"/>
            <w:tcBorders>
              <w:righ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ACCOUNT NUMBER</w:t>
            </w:r>
          </w:p>
        </w:tc>
        <w:tc>
          <w:tcPr>
            <w:tcW w:w="3780" w:type="dxa"/>
            <w:tcBorders>
              <w:lef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 50200012340772</w:t>
            </w:r>
          </w:p>
        </w:tc>
      </w:tr>
      <w:tr w:rsidR="004474F3" w:rsidRPr="008C7DEC" w:rsidTr="00FD2D97">
        <w:trPr>
          <w:trHeight w:val="503"/>
        </w:trPr>
        <w:tc>
          <w:tcPr>
            <w:tcW w:w="2808" w:type="dxa"/>
            <w:vMerge/>
          </w:tcPr>
          <w:p w:rsidR="004474F3" w:rsidRPr="008C7DEC" w:rsidRDefault="004474F3" w:rsidP="008B0E8A">
            <w:pPr>
              <w:jc w:val="both"/>
              <w:rPr>
                <w:rFonts w:ascii="Calibri" w:eastAsia="Times New Roman" w:hAnsi="Calibri" w:cs="Calibri"/>
                <w:color w:val="000000"/>
                <w:sz w:val="24"/>
                <w:szCs w:val="24"/>
              </w:rPr>
            </w:pPr>
          </w:p>
        </w:tc>
        <w:tc>
          <w:tcPr>
            <w:tcW w:w="2700" w:type="dxa"/>
            <w:tcBorders>
              <w:righ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IFSC</w:t>
            </w:r>
          </w:p>
        </w:tc>
        <w:tc>
          <w:tcPr>
            <w:tcW w:w="3780" w:type="dxa"/>
            <w:tcBorders>
              <w:lef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 HDFC0000258</w:t>
            </w:r>
          </w:p>
        </w:tc>
      </w:tr>
      <w:tr w:rsidR="004474F3" w:rsidRPr="008C7DEC" w:rsidTr="00FD2D97">
        <w:trPr>
          <w:trHeight w:val="575"/>
        </w:trPr>
        <w:tc>
          <w:tcPr>
            <w:tcW w:w="2808" w:type="dxa"/>
            <w:vMerge/>
          </w:tcPr>
          <w:p w:rsidR="004474F3" w:rsidRPr="008C7DEC" w:rsidRDefault="004474F3" w:rsidP="008B0E8A">
            <w:pPr>
              <w:jc w:val="both"/>
              <w:rPr>
                <w:rFonts w:ascii="Calibri" w:eastAsia="Times New Roman" w:hAnsi="Calibri" w:cs="Calibri"/>
                <w:color w:val="000000"/>
                <w:sz w:val="24"/>
                <w:szCs w:val="24"/>
              </w:rPr>
            </w:pPr>
          </w:p>
        </w:tc>
        <w:tc>
          <w:tcPr>
            <w:tcW w:w="2700" w:type="dxa"/>
            <w:tcBorders>
              <w:righ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BANK &amp; BRANCH NAME</w:t>
            </w:r>
          </w:p>
        </w:tc>
        <w:tc>
          <w:tcPr>
            <w:tcW w:w="3780" w:type="dxa"/>
            <w:tcBorders>
              <w:lef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 xml:space="preserve">: HDFC BANK LTD, NERUL EAST </w:t>
            </w:r>
            <w:r w:rsidR="006B340C">
              <w:rPr>
                <w:rFonts w:ascii="Calibri" w:eastAsia="Times New Roman" w:hAnsi="Calibri" w:cs="Calibri"/>
                <w:color w:val="000000"/>
                <w:sz w:val="24"/>
                <w:szCs w:val="24"/>
              </w:rPr>
              <w:t xml:space="preserve">     </w:t>
            </w:r>
            <w:r w:rsidRPr="008C7DEC">
              <w:rPr>
                <w:rFonts w:ascii="Calibri" w:eastAsia="Times New Roman" w:hAnsi="Calibri" w:cs="Calibri"/>
                <w:color w:val="000000"/>
                <w:sz w:val="24"/>
                <w:szCs w:val="24"/>
              </w:rPr>
              <w:t>BRANCH</w:t>
            </w:r>
          </w:p>
        </w:tc>
      </w:tr>
      <w:tr w:rsidR="004474F3" w:rsidRPr="008C7DEC" w:rsidTr="00FD2D97">
        <w:trPr>
          <w:trHeight w:val="665"/>
        </w:trPr>
        <w:tc>
          <w:tcPr>
            <w:tcW w:w="2808" w:type="dxa"/>
            <w:vMerge/>
          </w:tcPr>
          <w:p w:rsidR="004474F3" w:rsidRPr="008C7DEC" w:rsidRDefault="004474F3" w:rsidP="008B0E8A">
            <w:pPr>
              <w:jc w:val="both"/>
              <w:rPr>
                <w:rFonts w:ascii="Calibri" w:eastAsia="Times New Roman" w:hAnsi="Calibri" w:cs="Calibri"/>
                <w:color w:val="000000"/>
                <w:sz w:val="24"/>
                <w:szCs w:val="24"/>
              </w:rPr>
            </w:pPr>
          </w:p>
        </w:tc>
        <w:tc>
          <w:tcPr>
            <w:tcW w:w="2700" w:type="dxa"/>
            <w:tcBorders>
              <w:righ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 xml:space="preserve">ACCOUNT TYPE </w:t>
            </w:r>
          </w:p>
        </w:tc>
        <w:tc>
          <w:tcPr>
            <w:tcW w:w="3780" w:type="dxa"/>
            <w:tcBorders>
              <w:left w:val="nil"/>
            </w:tcBorders>
            <w:noWrap/>
            <w:vAlign w:val="center"/>
            <w:hideMark/>
          </w:tcPr>
          <w:p w:rsidR="004474F3" w:rsidRPr="008C7DEC" w:rsidRDefault="004474F3" w:rsidP="008B0E8A">
            <w:pPr>
              <w:jc w:val="both"/>
              <w:rPr>
                <w:rFonts w:ascii="Calibri" w:eastAsia="Times New Roman" w:hAnsi="Calibri" w:cs="Calibri"/>
                <w:color w:val="000000"/>
                <w:sz w:val="24"/>
                <w:szCs w:val="24"/>
              </w:rPr>
            </w:pPr>
            <w:r w:rsidRPr="008C7DEC">
              <w:rPr>
                <w:rFonts w:ascii="Calibri" w:eastAsia="Times New Roman" w:hAnsi="Calibri" w:cs="Calibri"/>
                <w:color w:val="000000"/>
                <w:sz w:val="24"/>
                <w:szCs w:val="24"/>
              </w:rPr>
              <w:t>: CURRENT</w:t>
            </w:r>
          </w:p>
        </w:tc>
      </w:tr>
    </w:tbl>
    <w:p w:rsidR="00A654D2" w:rsidRPr="008C7DEC" w:rsidRDefault="00A654D2" w:rsidP="00C17C4C">
      <w:pPr>
        <w:spacing w:after="0"/>
        <w:jc w:val="both"/>
        <w:rPr>
          <w:sz w:val="24"/>
          <w:szCs w:val="24"/>
        </w:rPr>
      </w:pPr>
    </w:p>
    <w:sectPr w:rsidR="00A654D2" w:rsidRPr="008C7DEC" w:rsidSect="00472719">
      <w:headerReference w:type="default" r:id="rId12"/>
      <w:pgSz w:w="12240" w:h="15840"/>
      <w:pgMar w:top="990" w:right="1440" w:bottom="90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2B" w:rsidRDefault="00D45F2B" w:rsidP="00F34627">
      <w:pPr>
        <w:spacing w:after="0" w:line="240" w:lineRule="auto"/>
      </w:pPr>
      <w:r>
        <w:separator/>
      </w:r>
    </w:p>
  </w:endnote>
  <w:endnote w:type="continuationSeparator" w:id="0">
    <w:p w:rsidR="00D45F2B" w:rsidRDefault="00D45F2B" w:rsidP="00F3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2B" w:rsidRDefault="00D45F2B" w:rsidP="00F34627">
      <w:pPr>
        <w:spacing w:after="0" w:line="240" w:lineRule="auto"/>
      </w:pPr>
      <w:r>
        <w:separator/>
      </w:r>
    </w:p>
  </w:footnote>
  <w:footnote w:type="continuationSeparator" w:id="0">
    <w:p w:rsidR="00D45F2B" w:rsidRDefault="00D45F2B" w:rsidP="00F34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27" w:rsidRDefault="00F34627" w:rsidP="00F34627">
    <w:pPr>
      <w:pStyle w:val="Header"/>
      <w:jc w:val="right"/>
    </w:pPr>
    <w:r>
      <w:rPr>
        <w:noProof/>
      </w:rPr>
      <w:drawing>
        <wp:inline distT="0" distB="0" distL="0" distR="0">
          <wp:extent cx="1785668" cy="279869"/>
          <wp:effectExtent l="19050" t="0" r="5032" b="0"/>
          <wp:docPr id="7" name="Picture 6" descr="ProxK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xKey Logo.png"/>
                  <pic:cNvPicPr/>
                </pic:nvPicPr>
                <pic:blipFill>
                  <a:blip r:embed="rId1"/>
                  <a:stretch>
                    <a:fillRect/>
                  </a:stretch>
                </pic:blipFill>
                <pic:spPr>
                  <a:xfrm>
                    <a:off x="0" y="0"/>
                    <a:ext cx="1787075" cy="2800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C85"/>
    <w:multiLevelType w:val="hybridMultilevel"/>
    <w:tmpl w:val="0242D652"/>
    <w:lvl w:ilvl="0" w:tplc="3604A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801AA"/>
    <w:multiLevelType w:val="hybridMultilevel"/>
    <w:tmpl w:val="89109AD8"/>
    <w:lvl w:ilvl="0" w:tplc="79763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2090F"/>
    <w:multiLevelType w:val="hybridMultilevel"/>
    <w:tmpl w:val="7DAA5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95FF1"/>
    <w:multiLevelType w:val="hybridMultilevel"/>
    <w:tmpl w:val="FCAE3EAE"/>
    <w:lvl w:ilvl="0" w:tplc="56E4C7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43BD3"/>
    <w:multiLevelType w:val="hybridMultilevel"/>
    <w:tmpl w:val="F6F83F84"/>
    <w:lvl w:ilvl="0" w:tplc="9FA4C5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5362"/>
  </w:hdrShapeDefaults>
  <w:footnotePr>
    <w:footnote w:id="-1"/>
    <w:footnote w:id="0"/>
  </w:footnotePr>
  <w:endnotePr>
    <w:endnote w:id="-1"/>
    <w:endnote w:id="0"/>
  </w:endnotePr>
  <w:compat/>
  <w:rsids>
    <w:rsidRoot w:val="008809E3"/>
    <w:rsid w:val="00002FCD"/>
    <w:rsid w:val="00055590"/>
    <w:rsid w:val="00070B83"/>
    <w:rsid w:val="0008275E"/>
    <w:rsid w:val="000F34B7"/>
    <w:rsid w:val="001337EF"/>
    <w:rsid w:val="00151D42"/>
    <w:rsid w:val="00152072"/>
    <w:rsid w:val="00160DC2"/>
    <w:rsid w:val="00164C48"/>
    <w:rsid w:val="00196232"/>
    <w:rsid w:val="001A09A7"/>
    <w:rsid w:val="001B2017"/>
    <w:rsid w:val="001D1B11"/>
    <w:rsid w:val="001F1488"/>
    <w:rsid w:val="0020053B"/>
    <w:rsid w:val="00245580"/>
    <w:rsid w:val="00274887"/>
    <w:rsid w:val="002A6760"/>
    <w:rsid w:val="002A7903"/>
    <w:rsid w:val="003424FE"/>
    <w:rsid w:val="003459F1"/>
    <w:rsid w:val="00360B4A"/>
    <w:rsid w:val="003D11D2"/>
    <w:rsid w:val="003E30BA"/>
    <w:rsid w:val="003F4179"/>
    <w:rsid w:val="00416953"/>
    <w:rsid w:val="004474F3"/>
    <w:rsid w:val="00447CD4"/>
    <w:rsid w:val="004550B1"/>
    <w:rsid w:val="00472719"/>
    <w:rsid w:val="00496942"/>
    <w:rsid w:val="00526B3B"/>
    <w:rsid w:val="00555FD3"/>
    <w:rsid w:val="00571B96"/>
    <w:rsid w:val="00575F77"/>
    <w:rsid w:val="005970AA"/>
    <w:rsid w:val="00657B5C"/>
    <w:rsid w:val="0066003D"/>
    <w:rsid w:val="006615B8"/>
    <w:rsid w:val="00673B75"/>
    <w:rsid w:val="006A2996"/>
    <w:rsid w:val="006B223B"/>
    <w:rsid w:val="006B340C"/>
    <w:rsid w:val="006E1AB2"/>
    <w:rsid w:val="006E1E8E"/>
    <w:rsid w:val="006E6318"/>
    <w:rsid w:val="007240AD"/>
    <w:rsid w:val="007359EE"/>
    <w:rsid w:val="00760C99"/>
    <w:rsid w:val="00766EE7"/>
    <w:rsid w:val="00773A63"/>
    <w:rsid w:val="00781490"/>
    <w:rsid w:val="007B3CBB"/>
    <w:rsid w:val="007E0A99"/>
    <w:rsid w:val="008809E3"/>
    <w:rsid w:val="008B0E8A"/>
    <w:rsid w:val="008C6A13"/>
    <w:rsid w:val="008C7DEC"/>
    <w:rsid w:val="008E7989"/>
    <w:rsid w:val="0090196D"/>
    <w:rsid w:val="00913583"/>
    <w:rsid w:val="00937899"/>
    <w:rsid w:val="009864F8"/>
    <w:rsid w:val="009A6D31"/>
    <w:rsid w:val="009C5767"/>
    <w:rsid w:val="00A350D9"/>
    <w:rsid w:val="00A45097"/>
    <w:rsid w:val="00A654D2"/>
    <w:rsid w:val="00A867CB"/>
    <w:rsid w:val="00AC4D78"/>
    <w:rsid w:val="00AE0495"/>
    <w:rsid w:val="00AE26DF"/>
    <w:rsid w:val="00B17DDB"/>
    <w:rsid w:val="00B232C0"/>
    <w:rsid w:val="00B458EB"/>
    <w:rsid w:val="00BC34A0"/>
    <w:rsid w:val="00BE42C3"/>
    <w:rsid w:val="00BE5E7A"/>
    <w:rsid w:val="00BF6727"/>
    <w:rsid w:val="00C17C4C"/>
    <w:rsid w:val="00C3400F"/>
    <w:rsid w:val="00C457E5"/>
    <w:rsid w:val="00CF2075"/>
    <w:rsid w:val="00D03D82"/>
    <w:rsid w:val="00D27225"/>
    <w:rsid w:val="00D45F2B"/>
    <w:rsid w:val="00D57567"/>
    <w:rsid w:val="00D76895"/>
    <w:rsid w:val="00DC4C1D"/>
    <w:rsid w:val="00DD17B5"/>
    <w:rsid w:val="00E029AD"/>
    <w:rsid w:val="00E102C1"/>
    <w:rsid w:val="00E86CFC"/>
    <w:rsid w:val="00E87454"/>
    <w:rsid w:val="00E943BD"/>
    <w:rsid w:val="00F25511"/>
    <w:rsid w:val="00F34627"/>
    <w:rsid w:val="00F36CF8"/>
    <w:rsid w:val="00F7260E"/>
    <w:rsid w:val="00FD108C"/>
    <w:rsid w:val="00FD2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BD"/>
    <w:rPr>
      <w:rFonts w:ascii="Tahoma" w:hAnsi="Tahoma" w:cs="Tahoma"/>
      <w:sz w:val="16"/>
      <w:szCs w:val="16"/>
    </w:rPr>
  </w:style>
  <w:style w:type="paragraph" w:styleId="ListParagraph">
    <w:name w:val="List Paragraph"/>
    <w:basedOn w:val="Normal"/>
    <w:uiPriority w:val="34"/>
    <w:qFormat/>
    <w:rsid w:val="00D57567"/>
    <w:pPr>
      <w:ind w:left="720"/>
      <w:contextualSpacing/>
    </w:pPr>
  </w:style>
  <w:style w:type="paragraph" w:styleId="Header">
    <w:name w:val="header"/>
    <w:basedOn w:val="Normal"/>
    <w:link w:val="HeaderChar"/>
    <w:uiPriority w:val="99"/>
    <w:semiHidden/>
    <w:unhideWhenUsed/>
    <w:rsid w:val="00F34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627"/>
  </w:style>
  <w:style w:type="paragraph" w:styleId="Footer">
    <w:name w:val="footer"/>
    <w:basedOn w:val="Normal"/>
    <w:link w:val="FooterChar"/>
    <w:uiPriority w:val="99"/>
    <w:semiHidden/>
    <w:unhideWhenUsed/>
    <w:rsid w:val="00F346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627"/>
  </w:style>
  <w:style w:type="character" w:styleId="Hyperlink">
    <w:name w:val="Hyperlink"/>
    <w:basedOn w:val="DefaultParagraphFont"/>
    <w:uiPriority w:val="99"/>
    <w:unhideWhenUsed/>
    <w:rsid w:val="00164C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8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knowledge.cryptoplanet.in/article/eligble-proxkey-series-of-token-for-update/" TargetMode="External"/><Relationship Id="rId4" Type="http://schemas.openxmlformats.org/officeDocument/2006/relationships/webSettings" Target="webSettings.xml"/><Relationship Id="rId9" Type="http://schemas.openxmlformats.org/officeDocument/2006/relationships/hyperlink" Target="https://knowledge.cryptoplanet.in/article/eligble-proxkey-series-of-token-for-upda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Ankush</dc:creator>
  <cp:lastModifiedBy>Ankush</cp:lastModifiedBy>
  <cp:revision>135</cp:revision>
  <dcterms:created xsi:type="dcterms:W3CDTF">2023-03-11T01:45:00Z</dcterms:created>
  <dcterms:modified xsi:type="dcterms:W3CDTF">2023-03-17T06:36:00Z</dcterms:modified>
</cp:coreProperties>
</file>